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68C9" w14:textId="77777777" w:rsidR="0079488F" w:rsidRDefault="0079488F"/>
    <w:p w14:paraId="20094481" w14:textId="77777777" w:rsidR="009F620C" w:rsidRDefault="009F620C"/>
    <w:p w14:paraId="73CE4B99" w14:textId="77777777" w:rsidR="009F620C" w:rsidRPr="00BE0579" w:rsidRDefault="009F620C">
      <w:pPr>
        <w:rPr>
          <w:rFonts w:ascii="Calibri" w:hAnsi="Calibri" w:cs="Calibri"/>
        </w:rPr>
      </w:pPr>
    </w:p>
    <w:p w14:paraId="5BC41999" w14:textId="5B13E6CE" w:rsidR="009F620C" w:rsidRPr="009F620C" w:rsidRDefault="009F620C" w:rsidP="009F620C">
      <w:pPr>
        <w:rPr>
          <w:rFonts w:ascii="Calibri" w:hAnsi="Calibri" w:cs="Calibri"/>
        </w:rPr>
      </w:pPr>
      <w:r w:rsidRPr="009F620C">
        <w:rPr>
          <w:rFonts w:ascii="Calibri" w:hAnsi="Calibri" w:cs="Calibri"/>
          <w:b/>
          <w:bCs/>
        </w:rPr>
        <w:t>NHS Type 2 Diabetes Path to Remission </w:t>
      </w:r>
      <w:r w:rsidRPr="009F620C">
        <w:rPr>
          <w:rFonts w:ascii="Calibri" w:hAnsi="Calibri" w:cs="Calibri"/>
        </w:rPr>
        <w:t> </w:t>
      </w:r>
      <w:r w:rsidR="00BE0579" w:rsidRPr="007C5AC8">
        <w:rPr>
          <w:rFonts w:ascii="Calibri" w:hAnsi="Calibri" w:cs="Calibri"/>
        </w:rPr>
        <w:t xml:space="preserve"> </w:t>
      </w:r>
      <w:r w:rsidR="007C5AC8" w:rsidRPr="007C5AC8">
        <w:rPr>
          <w:rFonts w:ascii="Calibri" w:hAnsi="Calibri" w:cs="Calibri"/>
        </w:rPr>
        <w:t xml:space="preserve">|    </w:t>
      </w:r>
      <w:r w:rsidRPr="009F620C">
        <w:rPr>
          <w:rFonts w:ascii="Calibri" w:hAnsi="Calibri" w:cs="Calibri"/>
          <w:b/>
          <w:bCs/>
        </w:rPr>
        <w:t>Eligibility Criteria &amp; Referrer Responsibilities </w:t>
      </w:r>
      <w:r w:rsidRPr="009F620C">
        <w:rPr>
          <w:rFonts w:ascii="Calibri" w:hAnsi="Calibri" w:cs="Calibri"/>
        </w:rPr>
        <w:t> </w:t>
      </w:r>
    </w:p>
    <w:p w14:paraId="4A43C219" w14:textId="008102DB" w:rsidR="009F620C" w:rsidRPr="009F620C" w:rsidRDefault="009F620C" w:rsidP="009F620C">
      <w:pPr>
        <w:rPr>
          <w:rFonts w:ascii="Calibri" w:hAnsi="Calibri" w:cs="Calibri"/>
          <w:sz w:val="20"/>
          <w:szCs w:val="20"/>
        </w:rPr>
      </w:pPr>
      <w:r w:rsidRPr="009F620C">
        <w:rPr>
          <w:rFonts w:ascii="Calibri" w:hAnsi="Calibri" w:cs="Calibri"/>
          <w:sz w:val="20"/>
          <w:szCs w:val="20"/>
        </w:rPr>
        <w:t> The NHS Type 2 Diabetes Path to Remission is an evidence-based intervention using Total Diet Replacement (TDR) to support people recently diagnosed with Type 2 diabetes to achieve significant weight loss and potentially attain diabetes remission (non-diabetic HbA1c results, at least 6 months apart, off all glucose-lowering medicines). There is no cost to participants with all TDR (usually shakes) funded by the NHS.  </w:t>
      </w:r>
    </w:p>
    <w:p w14:paraId="7968A296" w14:textId="27243810" w:rsidR="009F620C" w:rsidRPr="009F620C" w:rsidRDefault="009F620C" w:rsidP="009F620C">
      <w:pPr>
        <w:rPr>
          <w:rFonts w:ascii="Calibri" w:hAnsi="Calibri" w:cs="Calibri"/>
          <w:sz w:val="20"/>
          <w:szCs w:val="20"/>
        </w:rPr>
      </w:pPr>
      <w:r w:rsidRPr="009F620C">
        <w:rPr>
          <w:rFonts w:ascii="Calibri" w:hAnsi="Calibri" w:cs="Calibri"/>
          <w:sz w:val="20"/>
          <w:szCs w:val="20"/>
        </w:rPr>
        <w:t xml:space="preserve">This service is provided </w:t>
      </w:r>
      <w:r w:rsidR="007C5AC8">
        <w:rPr>
          <w:rFonts w:ascii="Calibri" w:hAnsi="Calibri" w:cs="Calibri"/>
          <w:sz w:val="20"/>
          <w:szCs w:val="20"/>
        </w:rPr>
        <w:t>by Xyla.</w:t>
      </w:r>
      <w:r w:rsidRPr="009F620C">
        <w:rPr>
          <w:rFonts w:ascii="Calibri" w:hAnsi="Calibri" w:cs="Calibri"/>
          <w:sz w:val="20"/>
          <w:szCs w:val="20"/>
        </w:rPr>
        <w:t>   </w:t>
      </w:r>
    </w:p>
    <w:p w14:paraId="3E3245EF" w14:textId="77777777" w:rsidR="009F620C" w:rsidRPr="009F620C" w:rsidRDefault="009F620C" w:rsidP="009F620C">
      <w:pPr>
        <w:rPr>
          <w:rFonts w:ascii="Calibri" w:hAnsi="Calibri" w:cs="Calibri"/>
          <w:sz w:val="20"/>
          <w:szCs w:val="20"/>
        </w:rPr>
      </w:pPr>
      <w:r w:rsidRPr="009F620C">
        <w:rPr>
          <w:rFonts w:ascii="Calibri" w:hAnsi="Calibri" w:cs="Calibri"/>
          <w:b/>
          <w:bCs/>
          <w:sz w:val="20"/>
          <w:szCs w:val="20"/>
        </w:rPr>
        <w:t>Individuals who satisfy all the following eligibility criteria may be referred to the Service: </w:t>
      </w:r>
      <w:r w:rsidRPr="009F620C">
        <w:rPr>
          <w:rFonts w:ascii="Calibri" w:hAnsi="Calibri" w:cs="Calibri"/>
          <w:sz w:val="20"/>
          <w:szCs w:val="20"/>
        </w:rPr>
        <w:t>  </w:t>
      </w:r>
    </w:p>
    <w:p w14:paraId="29B1BBF7" w14:textId="77777777" w:rsidR="009F620C" w:rsidRPr="009F620C" w:rsidRDefault="009F620C" w:rsidP="00DC3237">
      <w:pPr>
        <w:numPr>
          <w:ilvl w:val="0"/>
          <w:numId w:val="1"/>
        </w:numPr>
        <w:spacing w:after="0"/>
        <w:ind w:hanging="357"/>
        <w:rPr>
          <w:rFonts w:ascii="Calibri" w:hAnsi="Calibri" w:cs="Calibri"/>
          <w:sz w:val="20"/>
          <w:szCs w:val="20"/>
        </w:rPr>
      </w:pPr>
      <w:r w:rsidRPr="009F620C">
        <w:rPr>
          <w:rFonts w:ascii="Calibri" w:hAnsi="Calibri" w:cs="Calibri"/>
          <w:sz w:val="20"/>
          <w:szCs w:val="20"/>
        </w:rPr>
        <w:t>Aged 18 to 65 years (note that individuals aged over 65 years may be referred if clinically appropriate and if potential benefits for that individual are considered to outweigh potential risks associated with rapid weight loss) </w:t>
      </w:r>
    </w:p>
    <w:p w14:paraId="2284B9EA" w14:textId="77777777" w:rsidR="009F620C" w:rsidRPr="009F620C" w:rsidRDefault="009F620C" w:rsidP="00DC3237">
      <w:pPr>
        <w:numPr>
          <w:ilvl w:val="0"/>
          <w:numId w:val="2"/>
        </w:numPr>
        <w:spacing w:after="0"/>
        <w:ind w:hanging="357"/>
        <w:rPr>
          <w:rFonts w:ascii="Calibri" w:hAnsi="Calibri" w:cs="Calibri"/>
          <w:sz w:val="20"/>
          <w:szCs w:val="20"/>
        </w:rPr>
      </w:pPr>
      <w:r w:rsidRPr="009F620C">
        <w:rPr>
          <w:rFonts w:ascii="Calibri" w:hAnsi="Calibri" w:cs="Calibri"/>
          <w:sz w:val="20"/>
          <w:szCs w:val="20"/>
        </w:rPr>
        <w:t>Diagnosed with Type 2 diabetes within the last 6 years   </w:t>
      </w:r>
    </w:p>
    <w:p w14:paraId="58DD0EE9" w14:textId="77777777" w:rsidR="009F620C" w:rsidRPr="009F620C" w:rsidRDefault="009F620C" w:rsidP="00DC3237">
      <w:pPr>
        <w:numPr>
          <w:ilvl w:val="0"/>
          <w:numId w:val="3"/>
        </w:numPr>
        <w:spacing w:after="0"/>
        <w:ind w:hanging="357"/>
        <w:rPr>
          <w:rFonts w:ascii="Calibri" w:hAnsi="Calibri" w:cs="Calibri"/>
          <w:sz w:val="20"/>
          <w:szCs w:val="20"/>
        </w:rPr>
      </w:pPr>
      <w:r w:rsidRPr="009F620C">
        <w:rPr>
          <w:rFonts w:ascii="Calibri" w:hAnsi="Calibri" w:cs="Calibri"/>
          <w:sz w:val="20"/>
          <w:szCs w:val="20"/>
        </w:rPr>
        <w:t>Is not a current insulin user  </w:t>
      </w:r>
    </w:p>
    <w:p w14:paraId="3391F6BC" w14:textId="77777777" w:rsidR="009F620C" w:rsidRPr="009F620C" w:rsidRDefault="009F620C" w:rsidP="00DC3237">
      <w:pPr>
        <w:numPr>
          <w:ilvl w:val="0"/>
          <w:numId w:val="4"/>
        </w:numPr>
        <w:spacing w:after="0"/>
        <w:ind w:hanging="357"/>
        <w:rPr>
          <w:rFonts w:ascii="Calibri" w:hAnsi="Calibri" w:cs="Calibri"/>
          <w:sz w:val="20"/>
          <w:szCs w:val="20"/>
        </w:rPr>
      </w:pPr>
      <w:r w:rsidRPr="009F620C">
        <w:rPr>
          <w:rFonts w:ascii="Calibri" w:hAnsi="Calibri" w:cs="Calibri"/>
          <w:sz w:val="20"/>
          <w:szCs w:val="20"/>
        </w:rPr>
        <w:t>BMI ≥ 27kg/m² (adjusted to ≥ 25kg/m² in people of black, Asian and minority ethnic origin)  </w:t>
      </w:r>
    </w:p>
    <w:p w14:paraId="01B347F8" w14:textId="77777777" w:rsidR="009F620C" w:rsidRPr="009F620C" w:rsidRDefault="009F620C" w:rsidP="00DC3237">
      <w:pPr>
        <w:numPr>
          <w:ilvl w:val="0"/>
          <w:numId w:val="5"/>
        </w:numPr>
        <w:tabs>
          <w:tab w:val="num" w:pos="720"/>
        </w:tabs>
        <w:spacing w:after="0"/>
        <w:ind w:hanging="357"/>
        <w:rPr>
          <w:rFonts w:ascii="Calibri" w:hAnsi="Calibri" w:cs="Calibri"/>
          <w:sz w:val="20"/>
          <w:szCs w:val="20"/>
        </w:rPr>
      </w:pPr>
      <w:r w:rsidRPr="009F620C">
        <w:rPr>
          <w:rFonts w:ascii="Calibri" w:hAnsi="Calibri" w:cs="Calibri"/>
          <w:sz w:val="20"/>
          <w:szCs w:val="20"/>
        </w:rPr>
        <w:t>BMI obtained from self-measured weight is acceptable for referral. If this cannot be obtained, a clinic-measured value within the last 12 months may be used, provided there is no concern that weight may have reduced since last measured such that the individual would not be eligible for the NHS Type 2 Diabetes Path to Remission at present  </w:t>
      </w:r>
    </w:p>
    <w:p w14:paraId="55DC9503" w14:textId="77777777" w:rsidR="009F620C" w:rsidRPr="009F620C" w:rsidRDefault="009F620C" w:rsidP="00DC3237">
      <w:pPr>
        <w:numPr>
          <w:ilvl w:val="0"/>
          <w:numId w:val="6"/>
        </w:numPr>
        <w:spacing w:after="0"/>
        <w:ind w:hanging="357"/>
        <w:rPr>
          <w:rFonts w:ascii="Calibri" w:hAnsi="Calibri" w:cs="Calibri"/>
          <w:sz w:val="20"/>
          <w:szCs w:val="20"/>
        </w:rPr>
      </w:pPr>
      <w:r w:rsidRPr="009F620C">
        <w:rPr>
          <w:rFonts w:ascii="Calibri" w:hAnsi="Calibri" w:cs="Calibri"/>
          <w:sz w:val="20"/>
          <w:szCs w:val="20"/>
        </w:rPr>
        <w:t>HbA1c measurement taken within the last 12 months, in line with the following:  </w:t>
      </w:r>
    </w:p>
    <w:p w14:paraId="0A4D7C79" w14:textId="77777777" w:rsidR="009F620C" w:rsidRPr="009F620C" w:rsidRDefault="009F620C" w:rsidP="00DC3237">
      <w:pPr>
        <w:numPr>
          <w:ilvl w:val="0"/>
          <w:numId w:val="7"/>
        </w:numPr>
        <w:tabs>
          <w:tab w:val="num" w:pos="720"/>
        </w:tabs>
        <w:spacing w:after="0"/>
        <w:ind w:hanging="357"/>
        <w:rPr>
          <w:rFonts w:ascii="Calibri" w:hAnsi="Calibri" w:cs="Calibri"/>
          <w:sz w:val="20"/>
          <w:szCs w:val="20"/>
        </w:rPr>
      </w:pPr>
      <w:r w:rsidRPr="009F620C">
        <w:rPr>
          <w:rFonts w:ascii="Calibri" w:hAnsi="Calibri" w:cs="Calibri"/>
          <w:sz w:val="20"/>
          <w:szCs w:val="20"/>
        </w:rPr>
        <w:t>If on diabetes medication, HbA1c 43-87 mmol/mol  </w:t>
      </w:r>
    </w:p>
    <w:p w14:paraId="59ACD30C" w14:textId="77777777" w:rsidR="009F620C" w:rsidRPr="009F620C" w:rsidRDefault="009F620C" w:rsidP="00DC3237">
      <w:pPr>
        <w:numPr>
          <w:ilvl w:val="0"/>
          <w:numId w:val="8"/>
        </w:numPr>
        <w:spacing w:after="0"/>
        <w:ind w:hanging="357"/>
        <w:rPr>
          <w:rFonts w:ascii="Calibri" w:hAnsi="Calibri" w:cs="Calibri"/>
          <w:sz w:val="20"/>
          <w:szCs w:val="20"/>
        </w:rPr>
      </w:pPr>
      <w:r w:rsidRPr="009F620C">
        <w:rPr>
          <w:rFonts w:ascii="Calibri" w:hAnsi="Calibri" w:cs="Calibri"/>
          <w:sz w:val="20"/>
          <w:szCs w:val="20"/>
        </w:rPr>
        <w:t>If not on diabetes medication, HbA1c 48-87 mmol/mol  </w:t>
      </w:r>
    </w:p>
    <w:p w14:paraId="562949D3" w14:textId="77777777" w:rsidR="009F620C" w:rsidRPr="009F620C" w:rsidRDefault="009F620C" w:rsidP="00DC3237">
      <w:pPr>
        <w:numPr>
          <w:ilvl w:val="0"/>
          <w:numId w:val="9"/>
        </w:numPr>
        <w:tabs>
          <w:tab w:val="num" w:pos="720"/>
        </w:tabs>
        <w:spacing w:after="0"/>
        <w:ind w:hanging="357"/>
        <w:rPr>
          <w:rFonts w:ascii="Calibri" w:hAnsi="Calibri" w:cs="Calibri"/>
          <w:sz w:val="20"/>
          <w:szCs w:val="20"/>
        </w:rPr>
      </w:pPr>
      <w:r w:rsidRPr="009F620C">
        <w:rPr>
          <w:rFonts w:ascii="Calibri" w:hAnsi="Calibri" w:cs="Calibri"/>
          <w:sz w:val="20"/>
          <w:szCs w:val="20"/>
        </w:rPr>
        <w:t>If there is any concern that HbA1c may have changed since last measured, such that repeat testing may indicate that the individual would not be eligible for the programme at present, HbA1c should be rechecked before referral is considered​  </w:t>
      </w:r>
    </w:p>
    <w:p w14:paraId="09021506" w14:textId="77777777" w:rsidR="009F620C" w:rsidRPr="009F620C" w:rsidRDefault="009F620C" w:rsidP="00DC3237">
      <w:pPr>
        <w:numPr>
          <w:ilvl w:val="0"/>
          <w:numId w:val="10"/>
        </w:numPr>
        <w:spacing w:after="0"/>
        <w:ind w:hanging="357"/>
        <w:rPr>
          <w:rFonts w:ascii="Calibri" w:hAnsi="Calibri" w:cs="Calibri"/>
          <w:sz w:val="20"/>
          <w:szCs w:val="20"/>
        </w:rPr>
      </w:pPr>
      <w:r w:rsidRPr="009F620C">
        <w:rPr>
          <w:rFonts w:ascii="Calibri" w:hAnsi="Calibri" w:cs="Calibri"/>
          <w:sz w:val="20"/>
          <w:szCs w:val="20"/>
        </w:rPr>
        <w:t>Must have attended for monitoring and diabetes review when last offered, including retinal screening, and commit to continue attending annual reviews, even if remission is achieved (For avoidance of doubt, if a Service User is newly diagnosed then there is no requirement to wait for retinal screening to take place before offering referral) </w:t>
      </w:r>
    </w:p>
    <w:p w14:paraId="2FED33D7" w14:textId="77777777" w:rsidR="009F620C" w:rsidRPr="009F620C" w:rsidRDefault="009F620C" w:rsidP="00DC3237">
      <w:pPr>
        <w:numPr>
          <w:ilvl w:val="0"/>
          <w:numId w:val="11"/>
        </w:numPr>
        <w:spacing w:after="0"/>
        <w:ind w:hanging="357"/>
        <w:rPr>
          <w:rFonts w:ascii="Calibri" w:hAnsi="Calibri" w:cs="Calibri"/>
          <w:sz w:val="20"/>
          <w:szCs w:val="20"/>
        </w:rPr>
      </w:pPr>
      <w:r w:rsidRPr="009F620C">
        <w:rPr>
          <w:rFonts w:ascii="Calibri" w:hAnsi="Calibri" w:cs="Calibri"/>
          <w:sz w:val="20"/>
          <w:szCs w:val="20"/>
        </w:rPr>
        <w:t>Is not pregnant or planning to become pregnant before the end of the 12-month programme </w:t>
      </w:r>
    </w:p>
    <w:p w14:paraId="39EA7C79" w14:textId="77777777" w:rsidR="009F620C" w:rsidRPr="009F620C" w:rsidRDefault="009F620C" w:rsidP="00DC3237">
      <w:pPr>
        <w:numPr>
          <w:ilvl w:val="0"/>
          <w:numId w:val="12"/>
        </w:numPr>
        <w:spacing w:after="0"/>
        <w:ind w:hanging="357"/>
        <w:rPr>
          <w:rFonts w:ascii="Calibri" w:hAnsi="Calibri" w:cs="Calibri"/>
          <w:sz w:val="20"/>
          <w:szCs w:val="20"/>
        </w:rPr>
      </w:pPr>
      <w:r w:rsidRPr="009F620C">
        <w:rPr>
          <w:rFonts w:ascii="Calibri" w:hAnsi="Calibri" w:cs="Calibri"/>
          <w:sz w:val="20"/>
          <w:szCs w:val="20"/>
        </w:rPr>
        <w:t>Is not currently breastfeeding  </w:t>
      </w:r>
    </w:p>
    <w:p w14:paraId="73B5FEBA" w14:textId="77777777" w:rsidR="009F620C" w:rsidRPr="009F620C" w:rsidRDefault="009F620C" w:rsidP="00DC3237">
      <w:pPr>
        <w:numPr>
          <w:ilvl w:val="0"/>
          <w:numId w:val="13"/>
        </w:numPr>
        <w:spacing w:after="0"/>
        <w:ind w:hanging="357"/>
        <w:rPr>
          <w:rFonts w:ascii="Calibri" w:hAnsi="Calibri" w:cs="Calibri"/>
          <w:sz w:val="20"/>
          <w:szCs w:val="20"/>
        </w:rPr>
      </w:pPr>
      <w:r w:rsidRPr="009F620C">
        <w:rPr>
          <w:rFonts w:ascii="Calibri" w:hAnsi="Calibri" w:cs="Calibri"/>
          <w:sz w:val="20"/>
          <w:szCs w:val="20"/>
        </w:rPr>
        <w:t>Does not have any of the following significant co-morbidities:  </w:t>
      </w:r>
    </w:p>
    <w:p w14:paraId="27FA1E6E" w14:textId="77777777" w:rsidR="009F620C" w:rsidRPr="009F620C" w:rsidRDefault="009F620C" w:rsidP="00DC3237">
      <w:pPr>
        <w:numPr>
          <w:ilvl w:val="0"/>
          <w:numId w:val="14"/>
        </w:numPr>
        <w:tabs>
          <w:tab w:val="num" w:pos="720"/>
        </w:tabs>
        <w:spacing w:after="0"/>
        <w:ind w:hanging="357"/>
        <w:rPr>
          <w:rFonts w:ascii="Calibri" w:hAnsi="Calibri" w:cs="Calibri"/>
          <w:sz w:val="20"/>
          <w:szCs w:val="20"/>
        </w:rPr>
      </w:pPr>
      <w:r w:rsidRPr="009F620C">
        <w:rPr>
          <w:rFonts w:ascii="Calibri" w:hAnsi="Calibri" w:cs="Calibri"/>
          <w:sz w:val="20"/>
          <w:szCs w:val="20"/>
        </w:rPr>
        <w:t>active cancer  </w:t>
      </w:r>
    </w:p>
    <w:p w14:paraId="75FA664A" w14:textId="1409862D" w:rsidR="007C5AC8" w:rsidRPr="009F620C" w:rsidRDefault="009F620C" w:rsidP="00DC3237">
      <w:pPr>
        <w:numPr>
          <w:ilvl w:val="0"/>
          <w:numId w:val="15"/>
        </w:numPr>
        <w:tabs>
          <w:tab w:val="num" w:pos="720"/>
        </w:tabs>
        <w:spacing w:after="0"/>
        <w:ind w:hanging="357"/>
        <w:rPr>
          <w:rFonts w:ascii="Calibri" w:hAnsi="Calibri" w:cs="Calibri"/>
          <w:sz w:val="20"/>
          <w:szCs w:val="20"/>
        </w:rPr>
      </w:pPr>
      <w:r w:rsidRPr="009F620C">
        <w:rPr>
          <w:rFonts w:ascii="Calibri" w:hAnsi="Calibri" w:cs="Calibri"/>
          <w:sz w:val="20"/>
          <w:szCs w:val="20"/>
        </w:rPr>
        <w:t>heart attack or stroke in last 6 months  </w:t>
      </w:r>
    </w:p>
    <w:p w14:paraId="3CE7B9EC" w14:textId="77777777" w:rsidR="009F620C" w:rsidRPr="009F620C" w:rsidRDefault="009F620C" w:rsidP="00DC3237">
      <w:pPr>
        <w:numPr>
          <w:ilvl w:val="0"/>
          <w:numId w:val="16"/>
        </w:numPr>
        <w:tabs>
          <w:tab w:val="num" w:pos="720"/>
        </w:tabs>
        <w:spacing w:after="0"/>
        <w:ind w:hanging="357"/>
        <w:rPr>
          <w:rFonts w:ascii="Calibri" w:hAnsi="Calibri" w:cs="Calibri"/>
          <w:sz w:val="20"/>
          <w:szCs w:val="20"/>
        </w:rPr>
      </w:pPr>
      <w:r w:rsidRPr="009F620C">
        <w:rPr>
          <w:rFonts w:ascii="Calibri" w:hAnsi="Calibri" w:cs="Calibri"/>
          <w:sz w:val="20"/>
          <w:szCs w:val="20"/>
        </w:rPr>
        <w:t>severe heart failure (defined as New York Heart Association grade 3 or 4)  </w:t>
      </w:r>
    </w:p>
    <w:p w14:paraId="20D45E7D" w14:textId="77777777" w:rsidR="009F620C" w:rsidRPr="009F620C" w:rsidRDefault="009F620C" w:rsidP="00DC3237">
      <w:pPr>
        <w:numPr>
          <w:ilvl w:val="0"/>
          <w:numId w:val="17"/>
        </w:numPr>
        <w:tabs>
          <w:tab w:val="num" w:pos="720"/>
        </w:tabs>
        <w:spacing w:after="0"/>
        <w:ind w:hanging="357"/>
        <w:rPr>
          <w:rFonts w:ascii="Calibri" w:hAnsi="Calibri" w:cs="Calibri"/>
          <w:sz w:val="20"/>
          <w:szCs w:val="20"/>
        </w:rPr>
      </w:pPr>
      <w:r w:rsidRPr="009F620C">
        <w:rPr>
          <w:rFonts w:ascii="Calibri" w:hAnsi="Calibri" w:cs="Calibri"/>
          <w:sz w:val="20"/>
          <w:szCs w:val="20"/>
        </w:rPr>
        <w:t>severe renal impairment (most recent eGFR &lt; 30mls/min/1.73m2)  </w:t>
      </w:r>
    </w:p>
    <w:p w14:paraId="0E39AD64" w14:textId="77777777" w:rsidR="009F620C" w:rsidRPr="009F620C" w:rsidRDefault="009F620C" w:rsidP="00DC3237">
      <w:pPr>
        <w:numPr>
          <w:ilvl w:val="0"/>
          <w:numId w:val="18"/>
        </w:numPr>
        <w:tabs>
          <w:tab w:val="num" w:pos="720"/>
        </w:tabs>
        <w:spacing w:after="0"/>
        <w:ind w:hanging="357"/>
        <w:rPr>
          <w:rFonts w:ascii="Calibri" w:hAnsi="Calibri" w:cs="Calibri"/>
          <w:sz w:val="20"/>
          <w:szCs w:val="20"/>
        </w:rPr>
      </w:pPr>
      <w:r w:rsidRPr="009F620C">
        <w:rPr>
          <w:rFonts w:ascii="Calibri" w:hAnsi="Calibri" w:cs="Calibri"/>
          <w:sz w:val="20"/>
          <w:szCs w:val="20"/>
        </w:rPr>
        <w:t>active liver disease other than non-alcoholic fatty liver disease (NAFLD) (i.e. NAFLD is not an exclusion criterion) </w:t>
      </w:r>
    </w:p>
    <w:p w14:paraId="55BD8FD9" w14:textId="77777777" w:rsidR="009F620C" w:rsidRPr="009F620C" w:rsidRDefault="009F620C" w:rsidP="00DC3237">
      <w:pPr>
        <w:numPr>
          <w:ilvl w:val="0"/>
          <w:numId w:val="19"/>
        </w:numPr>
        <w:tabs>
          <w:tab w:val="num" w:pos="720"/>
        </w:tabs>
        <w:spacing w:after="0"/>
        <w:ind w:hanging="357"/>
        <w:rPr>
          <w:rFonts w:ascii="Calibri" w:hAnsi="Calibri" w:cs="Calibri"/>
          <w:sz w:val="20"/>
          <w:szCs w:val="20"/>
        </w:rPr>
      </w:pPr>
      <w:r w:rsidRPr="009F620C">
        <w:rPr>
          <w:rFonts w:ascii="Calibri" w:hAnsi="Calibri" w:cs="Calibri"/>
          <w:sz w:val="20"/>
          <w:szCs w:val="20"/>
        </w:rPr>
        <w:t>active substance use disorder  </w:t>
      </w:r>
    </w:p>
    <w:p w14:paraId="64444C59" w14:textId="77777777" w:rsidR="009F620C" w:rsidRPr="009F620C" w:rsidRDefault="009F620C" w:rsidP="00DC3237">
      <w:pPr>
        <w:numPr>
          <w:ilvl w:val="0"/>
          <w:numId w:val="20"/>
        </w:numPr>
        <w:tabs>
          <w:tab w:val="num" w:pos="720"/>
        </w:tabs>
        <w:spacing w:after="0"/>
        <w:ind w:hanging="357"/>
        <w:rPr>
          <w:rFonts w:ascii="Calibri" w:hAnsi="Calibri" w:cs="Calibri"/>
          <w:sz w:val="20"/>
          <w:szCs w:val="20"/>
        </w:rPr>
      </w:pPr>
      <w:r w:rsidRPr="009F620C">
        <w:rPr>
          <w:rFonts w:ascii="Calibri" w:hAnsi="Calibri" w:cs="Calibri"/>
          <w:sz w:val="20"/>
          <w:szCs w:val="20"/>
        </w:rPr>
        <w:t>active eating disorder (including binge eating disorder) </w:t>
      </w:r>
    </w:p>
    <w:p w14:paraId="2B31EE57" w14:textId="77777777" w:rsidR="009F620C" w:rsidRPr="009F620C" w:rsidRDefault="009F620C" w:rsidP="00DC3237">
      <w:pPr>
        <w:numPr>
          <w:ilvl w:val="0"/>
          <w:numId w:val="21"/>
        </w:numPr>
        <w:tabs>
          <w:tab w:val="num" w:pos="720"/>
        </w:tabs>
        <w:spacing w:after="0"/>
        <w:ind w:hanging="357"/>
        <w:rPr>
          <w:rFonts w:ascii="Calibri" w:hAnsi="Calibri" w:cs="Calibri"/>
          <w:sz w:val="20"/>
          <w:szCs w:val="20"/>
        </w:rPr>
      </w:pPr>
      <w:r w:rsidRPr="009F620C">
        <w:rPr>
          <w:rFonts w:ascii="Calibri" w:hAnsi="Calibri" w:cs="Calibri"/>
          <w:sz w:val="20"/>
          <w:szCs w:val="20"/>
        </w:rPr>
        <w:t>porphyria   </w:t>
      </w:r>
    </w:p>
    <w:p w14:paraId="35914AAF" w14:textId="77777777" w:rsidR="009F620C" w:rsidRDefault="009F620C" w:rsidP="00DC3237">
      <w:pPr>
        <w:numPr>
          <w:ilvl w:val="0"/>
          <w:numId w:val="22"/>
        </w:numPr>
        <w:tabs>
          <w:tab w:val="num" w:pos="720"/>
        </w:tabs>
        <w:spacing w:after="0"/>
        <w:ind w:hanging="357"/>
        <w:rPr>
          <w:rFonts w:ascii="Calibri" w:hAnsi="Calibri" w:cs="Calibri"/>
          <w:sz w:val="20"/>
          <w:szCs w:val="20"/>
        </w:rPr>
      </w:pPr>
      <w:r w:rsidRPr="009F620C">
        <w:rPr>
          <w:rFonts w:ascii="Calibri" w:hAnsi="Calibri" w:cs="Calibri"/>
          <w:sz w:val="20"/>
          <w:szCs w:val="20"/>
        </w:rPr>
        <w:t>known proliferative retinopathy that has not been treated (this does not exclude individuals who are newly diagnosed and have not yet had the opportunity for retinal screening)  </w:t>
      </w:r>
    </w:p>
    <w:p w14:paraId="7F441E55" w14:textId="77777777" w:rsidR="00DC3237" w:rsidRDefault="00DC3237" w:rsidP="00DC3237">
      <w:pPr>
        <w:numPr>
          <w:ilvl w:val="0"/>
          <w:numId w:val="22"/>
        </w:numPr>
        <w:tabs>
          <w:tab w:val="num" w:pos="720"/>
        </w:tabs>
        <w:spacing w:after="0"/>
        <w:ind w:hanging="357"/>
        <w:rPr>
          <w:rFonts w:ascii="Calibri" w:hAnsi="Calibri" w:cs="Calibri"/>
          <w:sz w:val="20"/>
          <w:szCs w:val="20"/>
        </w:rPr>
      </w:pPr>
    </w:p>
    <w:p w14:paraId="20B2BB82" w14:textId="77777777" w:rsidR="00DC3237" w:rsidRDefault="00DC3237" w:rsidP="00DC3237">
      <w:pPr>
        <w:spacing w:after="0"/>
        <w:rPr>
          <w:rFonts w:ascii="Calibri" w:hAnsi="Calibri" w:cs="Calibri"/>
          <w:sz w:val="20"/>
          <w:szCs w:val="20"/>
        </w:rPr>
      </w:pPr>
    </w:p>
    <w:p w14:paraId="66D31D3A" w14:textId="77777777" w:rsidR="00DC3237" w:rsidRDefault="00DC3237" w:rsidP="00DC3237">
      <w:pPr>
        <w:spacing w:after="0"/>
        <w:rPr>
          <w:rFonts w:ascii="Calibri" w:hAnsi="Calibri" w:cs="Calibri"/>
          <w:sz w:val="20"/>
          <w:szCs w:val="20"/>
        </w:rPr>
      </w:pPr>
    </w:p>
    <w:p w14:paraId="62334616" w14:textId="77777777" w:rsidR="00DC3237" w:rsidRDefault="00DC3237" w:rsidP="00DC3237">
      <w:pPr>
        <w:spacing w:after="0"/>
        <w:rPr>
          <w:rFonts w:ascii="Calibri" w:hAnsi="Calibri" w:cs="Calibri"/>
          <w:sz w:val="20"/>
          <w:szCs w:val="20"/>
        </w:rPr>
      </w:pPr>
    </w:p>
    <w:p w14:paraId="088E74FB" w14:textId="77777777" w:rsidR="00DC3237" w:rsidRDefault="00DC3237" w:rsidP="00DC3237">
      <w:pPr>
        <w:spacing w:after="0"/>
        <w:rPr>
          <w:rFonts w:ascii="Calibri" w:hAnsi="Calibri" w:cs="Calibri"/>
          <w:sz w:val="20"/>
          <w:szCs w:val="20"/>
        </w:rPr>
      </w:pPr>
    </w:p>
    <w:p w14:paraId="63239091" w14:textId="77777777" w:rsidR="00DC3237" w:rsidRPr="009F620C" w:rsidRDefault="00DC3237" w:rsidP="00DC3237">
      <w:pPr>
        <w:spacing w:after="0"/>
        <w:rPr>
          <w:rFonts w:ascii="Calibri" w:hAnsi="Calibri" w:cs="Calibri"/>
          <w:sz w:val="20"/>
          <w:szCs w:val="20"/>
        </w:rPr>
      </w:pPr>
    </w:p>
    <w:p w14:paraId="21EAF591" w14:textId="77777777" w:rsidR="009F620C" w:rsidRPr="009F620C" w:rsidRDefault="009F620C" w:rsidP="00DC3237">
      <w:pPr>
        <w:numPr>
          <w:ilvl w:val="0"/>
          <w:numId w:val="23"/>
        </w:numPr>
        <w:spacing w:after="0"/>
        <w:ind w:hanging="357"/>
        <w:rPr>
          <w:rFonts w:ascii="Calibri" w:hAnsi="Calibri" w:cs="Calibri"/>
          <w:sz w:val="20"/>
          <w:szCs w:val="20"/>
        </w:rPr>
      </w:pPr>
      <w:r w:rsidRPr="009F620C">
        <w:rPr>
          <w:rFonts w:ascii="Calibri" w:hAnsi="Calibri" w:cs="Calibri"/>
          <w:sz w:val="20"/>
          <w:szCs w:val="20"/>
        </w:rPr>
        <w:t>Has had bariatric surgery </w:t>
      </w:r>
    </w:p>
    <w:p w14:paraId="4DDB74EC" w14:textId="77777777" w:rsidR="009F620C" w:rsidRPr="009F620C" w:rsidRDefault="009F620C" w:rsidP="00DC3237">
      <w:pPr>
        <w:numPr>
          <w:ilvl w:val="0"/>
          <w:numId w:val="24"/>
        </w:numPr>
        <w:spacing w:after="0"/>
        <w:ind w:hanging="357"/>
        <w:rPr>
          <w:rFonts w:ascii="Calibri" w:hAnsi="Calibri" w:cs="Calibri"/>
          <w:sz w:val="20"/>
          <w:szCs w:val="20"/>
        </w:rPr>
      </w:pPr>
      <w:r w:rsidRPr="009F620C">
        <w:rPr>
          <w:rFonts w:ascii="Calibri" w:hAnsi="Calibri" w:cs="Calibri"/>
          <w:sz w:val="20"/>
          <w:szCs w:val="20"/>
        </w:rPr>
        <w:t>Health professional assessment that the person can understand and meet the demands and / or monitoring requirements of the NHS Type 2 Diabetes Path to Remission (due to physical or psychological conditions or co-morbidities). </w:t>
      </w:r>
    </w:p>
    <w:p w14:paraId="772152E1" w14:textId="77777777" w:rsidR="009F620C" w:rsidRPr="009F620C" w:rsidRDefault="009F620C" w:rsidP="009F620C">
      <w:pPr>
        <w:rPr>
          <w:rFonts w:ascii="Calibri" w:hAnsi="Calibri" w:cs="Calibri"/>
          <w:sz w:val="20"/>
          <w:szCs w:val="20"/>
        </w:rPr>
      </w:pPr>
      <w:r w:rsidRPr="009F620C">
        <w:rPr>
          <w:rFonts w:ascii="Calibri" w:hAnsi="Calibri" w:cs="Calibri"/>
          <w:sz w:val="20"/>
          <w:szCs w:val="20"/>
        </w:rPr>
        <w:t>  </w:t>
      </w:r>
    </w:p>
    <w:p w14:paraId="54757713" w14:textId="77777777" w:rsidR="009F620C" w:rsidRPr="009F620C" w:rsidRDefault="009F620C" w:rsidP="009F620C">
      <w:pPr>
        <w:rPr>
          <w:rFonts w:ascii="Calibri" w:hAnsi="Calibri" w:cs="Calibri"/>
          <w:sz w:val="20"/>
          <w:szCs w:val="20"/>
        </w:rPr>
      </w:pPr>
      <w:r w:rsidRPr="009F620C">
        <w:rPr>
          <w:rFonts w:ascii="Calibri" w:hAnsi="Calibri" w:cs="Calibri"/>
          <w:b/>
          <w:bCs/>
          <w:sz w:val="20"/>
          <w:szCs w:val="20"/>
        </w:rPr>
        <w:t>Responsibilities of the referring GP practice:</w:t>
      </w:r>
      <w:r w:rsidRPr="009F620C">
        <w:rPr>
          <w:rFonts w:ascii="Calibri" w:hAnsi="Calibri" w:cs="Calibri"/>
          <w:sz w:val="20"/>
          <w:szCs w:val="20"/>
        </w:rPr>
        <w:t>  </w:t>
      </w:r>
    </w:p>
    <w:p w14:paraId="3965FF20" w14:textId="77777777" w:rsidR="009F620C" w:rsidRPr="009F620C" w:rsidRDefault="009F620C" w:rsidP="00DC3237">
      <w:pPr>
        <w:numPr>
          <w:ilvl w:val="0"/>
          <w:numId w:val="25"/>
        </w:numPr>
        <w:spacing w:after="0"/>
        <w:ind w:left="714" w:hanging="357"/>
        <w:rPr>
          <w:rFonts w:ascii="Calibri" w:hAnsi="Calibri" w:cs="Calibri"/>
          <w:sz w:val="20"/>
          <w:szCs w:val="20"/>
        </w:rPr>
      </w:pPr>
      <w:r w:rsidRPr="009F620C">
        <w:rPr>
          <w:rFonts w:ascii="Calibri" w:hAnsi="Calibri" w:cs="Calibri"/>
          <w:sz w:val="20"/>
          <w:szCs w:val="20"/>
        </w:rPr>
        <w:t>Identify eligible patients and offer referral as appropriate  </w:t>
      </w:r>
    </w:p>
    <w:p w14:paraId="18F945B2" w14:textId="77777777" w:rsidR="009F620C" w:rsidRPr="009F620C" w:rsidRDefault="009F620C" w:rsidP="00DC3237">
      <w:pPr>
        <w:numPr>
          <w:ilvl w:val="0"/>
          <w:numId w:val="26"/>
        </w:numPr>
        <w:spacing w:after="0"/>
        <w:ind w:left="714" w:hanging="357"/>
        <w:rPr>
          <w:rFonts w:ascii="Calibri" w:hAnsi="Calibri" w:cs="Calibri"/>
          <w:sz w:val="20"/>
          <w:szCs w:val="20"/>
        </w:rPr>
      </w:pPr>
      <w:r w:rsidRPr="009F620C">
        <w:rPr>
          <w:rFonts w:ascii="Calibri" w:hAnsi="Calibri" w:cs="Calibri"/>
          <w:sz w:val="20"/>
          <w:szCs w:val="20"/>
        </w:rPr>
        <w:t>Provide information on concept of remission of Type 2 Diabetes, the NHS Type 2 Diabetes Path to Remission and potential risks and benefits to obtain informed consent  </w:t>
      </w:r>
    </w:p>
    <w:p w14:paraId="2DF373B0" w14:textId="77777777" w:rsidR="009F620C" w:rsidRPr="009F620C" w:rsidRDefault="009F620C" w:rsidP="00DC3237">
      <w:pPr>
        <w:numPr>
          <w:ilvl w:val="0"/>
          <w:numId w:val="27"/>
        </w:numPr>
        <w:spacing w:after="0"/>
        <w:ind w:left="714" w:hanging="357"/>
        <w:rPr>
          <w:rFonts w:ascii="Calibri" w:hAnsi="Calibri" w:cs="Calibri"/>
          <w:sz w:val="20"/>
          <w:szCs w:val="20"/>
        </w:rPr>
      </w:pPr>
      <w:r w:rsidRPr="009F620C">
        <w:rPr>
          <w:rFonts w:ascii="Calibri" w:hAnsi="Calibri" w:cs="Calibri"/>
          <w:sz w:val="20"/>
          <w:szCs w:val="20"/>
        </w:rPr>
        <w:t>Discuss medication changes to take place on first day of TDR (including no medication changes) and provide written confirmation of </w:t>
      </w:r>
      <w:proofErr w:type="gramStart"/>
      <w:r w:rsidRPr="009F620C">
        <w:rPr>
          <w:rFonts w:ascii="Calibri" w:hAnsi="Calibri" w:cs="Calibri"/>
          <w:sz w:val="20"/>
          <w:szCs w:val="20"/>
        </w:rPr>
        <w:t>these change</w:t>
      </w:r>
      <w:proofErr w:type="gramEnd"/>
      <w:r w:rsidRPr="009F620C">
        <w:rPr>
          <w:rFonts w:ascii="Calibri" w:hAnsi="Calibri" w:cs="Calibri"/>
          <w:sz w:val="20"/>
          <w:szCs w:val="20"/>
        </w:rPr>
        <w:t> to the Provider (usually on the referral form). </w:t>
      </w:r>
    </w:p>
    <w:p w14:paraId="6FA9FF5A" w14:textId="77777777" w:rsidR="009F620C" w:rsidRPr="009F620C" w:rsidRDefault="009F620C" w:rsidP="00DC3237">
      <w:pPr>
        <w:numPr>
          <w:ilvl w:val="0"/>
          <w:numId w:val="28"/>
        </w:numPr>
        <w:spacing w:after="0"/>
        <w:ind w:left="714" w:hanging="357"/>
        <w:rPr>
          <w:rFonts w:ascii="Calibri" w:hAnsi="Calibri" w:cs="Calibri"/>
          <w:sz w:val="20"/>
          <w:szCs w:val="20"/>
        </w:rPr>
      </w:pPr>
      <w:r w:rsidRPr="009F620C">
        <w:rPr>
          <w:rFonts w:ascii="Calibri" w:hAnsi="Calibri" w:cs="Calibri"/>
          <w:sz w:val="20"/>
          <w:szCs w:val="20"/>
        </w:rPr>
        <w:t>Medication changes should be communicated in the most appropriate manner to the patient, ensuring that these have been agreed, understood and retained.  </w:t>
      </w:r>
    </w:p>
    <w:p w14:paraId="67B6066B" w14:textId="77777777" w:rsidR="009F620C" w:rsidRPr="009F620C" w:rsidRDefault="009F620C" w:rsidP="00DC3237">
      <w:pPr>
        <w:numPr>
          <w:ilvl w:val="0"/>
          <w:numId w:val="29"/>
        </w:numPr>
        <w:spacing w:after="0"/>
        <w:ind w:left="714" w:hanging="357"/>
        <w:rPr>
          <w:rFonts w:ascii="Calibri" w:hAnsi="Calibri" w:cs="Calibri"/>
          <w:sz w:val="20"/>
          <w:szCs w:val="20"/>
        </w:rPr>
      </w:pPr>
      <w:r w:rsidRPr="009F620C">
        <w:rPr>
          <w:rFonts w:ascii="Calibri" w:hAnsi="Calibri" w:cs="Calibri"/>
          <w:sz w:val="20"/>
          <w:szCs w:val="20"/>
        </w:rPr>
        <w:t> Respond to any clinical need to further adjust medications according to capillary blood glucose and blood pressure monitoring by the Provider  </w:t>
      </w:r>
    </w:p>
    <w:p w14:paraId="4D213846" w14:textId="77777777" w:rsidR="009F620C" w:rsidRPr="009F620C" w:rsidRDefault="009F620C" w:rsidP="00DC3237">
      <w:pPr>
        <w:numPr>
          <w:ilvl w:val="0"/>
          <w:numId w:val="30"/>
        </w:numPr>
        <w:spacing w:after="0"/>
        <w:ind w:left="714" w:hanging="357"/>
        <w:rPr>
          <w:rFonts w:ascii="Calibri" w:hAnsi="Calibri" w:cs="Calibri"/>
          <w:sz w:val="20"/>
          <w:szCs w:val="20"/>
        </w:rPr>
      </w:pPr>
      <w:r w:rsidRPr="009F620C">
        <w:rPr>
          <w:rFonts w:ascii="Calibri" w:hAnsi="Calibri" w:cs="Calibri"/>
          <w:sz w:val="20"/>
          <w:szCs w:val="20"/>
        </w:rPr>
        <w:t>Respond to adverse events if patient contacts practice directly with an urgent clinical need or is directed to the GP practice by the Provider  </w:t>
      </w:r>
    </w:p>
    <w:p w14:paraId="0E78A382" w14:textId="77777777" w:rsidR="009F620C" w:rsidRPr="009F620C" w:rsidRDefault="009F620C" w:rsidP="00DC3237">
      <w:pPr>
        <w:numPr>
          <w:ilvl w:val="0"/>
          <w:numId w:val="31"/>
        </w:numPr>
        <w:spacing w:after="0"/>
        <w:ind w:left="714" w:hanging="357"/>
        <w:rPr>
          <w:rFonts w:ascii="Calibri" w:hAnsi="Calibri" w:cs="Calibri"/>
          <w:sz w:val="20"/>
          <w:szCs w:val="20"/>
        </w:rPr>
      </w:pPr>
      <w:r w:rsidRPr="009F620C">
        <w:rPr>
          <w:rFonts w:ascii="Calibri" w:hAnsi="Calibri" w:cs="Calibri"/>
          <w:sz w:val="20"/>
          <w:szCs w:val="20"/>
        </w:rPr>
        <w:t>Arrange review of patient at 6 months and 12 months after starting NHS Type 2 Diabetes Path to Remission with repeat HbA1c –with further medication adjustment as necessary  </w:t>
      </w:r>
    </w:p>
    <w:p w14:paraId="4525700B" w14:textId="77777777" w:rsidR="009F620C" w:rsidRPr="009F620C" w:rsidRDefault="009F620C" w:rsidP="00DC3237">
      <w:pPr>
        <w:spacing w:after="0"/>
        <w:rPr>
          <w:rFonts w:ascii="Calibri" w:hAnsi="Calibri" w:cs="Calibri"/>
          <w:sz w:val="20"/>
          <w:szCs w:val="20"/>
        </w:rPr>
      </w:pPr>
      <w:r w:rsidRPr="009F620C">
        <w:rPr>
          <w:rFonts w:ascii="Calibri" w:hAnsi="Calibri" w:cs="Calibri"/>
          <w:sz w:val="20"/>
          <w:szCs w:val="20"/>
        </w:rPr>
        <w:t>  </w:t>
      </w:r>
    </w:p>
    <w:p w14:paraId="1388601E" w14:textId="0320C3BA" w:rsidR="009F620C" w:rsidRPr="009F620C" w:rsidRDefault="009F620C" w:rsidP="009F620C">
      <w:pPr>
        <w:rPr>
          <w:rFonts w:ascii="Calibri" w:hAnsi="Calibri" w:cs="Calibri"/>
          <w:sz w:val="20"/>
          <w:szCs w:val="20"/>
        </w:rPr>
      </w:pPr>
      <w:r w:rsidRPr="009F620C">
        <w:rPr>
          <w:rFonts w:ascii="Calibri" w:hAnsi="Calibri" w:cs="Calibri"/>
          <w:sz w:val="20"/>
          <w:szCs w:val="20"/>
        </w:rPr>
        <w:t>  </w:t>
      </w:r>
      <w:r w:rsidRPr="009F620C">
        <w:rPr>
          <w:rFonts w:ascii="Calibri" w:hAnsi="Calibri" w:cs="Calibri"/>
          <w:b/>
          <w:bCs/>
          <w:sz w:val="20"/>
          <w:szCs w:val="20"/>
        </w:rPr>
        <w:t>Responsibilities of Provider:</w:t>
      </w:r>
      <w:r w:rsidRPr="009F620C">
        <w:rPr>
          <w:rFonts w:ascii="Calibri" w:hAnsi="Calibri" w:cs="Calibri"/>
          <w:sz w:val="20"/>
          <w:szCs w:val="20"/>
        </w:rPr>
        <w:t>  </w:t>
      </w:r>
    </w:p>
    <w:p w14:paraId="71DC1418" w14:textId="77777777" w:rsidR="009F620C" w:rsidRPr="009F620C" w:rsidRDefault="009F620C" w:rsidP="00DC3237">
      <w:pPr>
        <w:numPr>
          <w:ilvl w:val="0"/>
          <w:numId w:val="32"/>
        </w:numPr>
        <w:spacing w:after="0"/>
        <w:ind w:left="714" w:hanging="357"/>
        <w:rPr>
          <w:rFonts w:ascii="Calibri" w:hAnsi="Calibri" w:cs="Calibri"/>
          <w:sz w:val="20"/>
          <w:szCs w:val="20"/>
        </w:rPr>
      </w:pPr>
      <w:r w:rsidRPr="009F620C">
        <w:rPr>
          <w:rFonts w:ascii="Calibri" w:hAnsi="Calibri" w:cs="Calibri"/>
          <w:sz w:val="20"/>
          <w:szCs w:val="20"/>
        </w:rPr>
        <w:t>Attempt contact with patients referred within 5 working days to provide further information about the service and book Individual Assessment  </w:t>
      </w:r>
    </w:p>
    <w:p w14:paraId="22FBDB93" w14:textId="77777777" w:rsidR="009F620C" w:rsidRPr="009F620C" w:rsidRDefault="009F620C" w:rsidP="00DC3237">
      <w:pPr>
        <w:numPr>
          <w:ilvl w:val="0"/>
          <w:numId w:val="33"/>
        </w:numPr>
        <w:spacing w:after="0"/>
        <w:ind w:left="714" w:hanging="357"/>
        <w:rPr>
          <w:rFonts w:ascii="Calibri" w:hAnsi="Calibri" w:cs="Calibri"/>
          <w:sz w:val="20"/>
          <w:szCs w:val="20"/>
        </w:rPr>
      </w:pPr>
      <w:r w:rsidRPr="009F620C">
        <w:rPr>
          <w:rFonts w:ascii="Calibri" w:hAnsi="Calibri" w:cs="Calibri"/>
          <w:sz w:val="20"/>
          <w:szCs w:val="20"/>
        </w:rPr>
        <w:t>Be aware of whether any potential Service User has a medication change or not. The provider must ensure that they have received, in writing from the referrer, confirmation of medication changes or confirmation that there </w:t>
      </w:r>
      <w:proofErr w:type="gramStart"/>
      <w:r w:rsidRPr="009F620C">
        <w:rPr>
          <w:rFonts w:ascii="Calibri" w:hAnsi="Calibri" w:cs="Calibri"/>
          <w:sz w:val="20"/>
          <w:szCs w:val="20"/>
        </w:rPr>
        <w:t>are</w:t>
      </w:r>
      <w:proofErr w:type="gramEnd"/>
      <w:r w:rsidRPr="009F620C">
        <w:rPr>
          <w:rFonts w:ascii="Calibri" w:hAnsi="Calibri" w:cs="Calibri"/>
          <w:sz w:val="20"/>
          <w:szCs w:val="20"/>
        </w:rPr>
        <w:t> no medication changes required.  </w:t>
      </w:r>
    </w:p>
    <w:p w14:paraId="33235DCF" w14:textId="77777777" w:rsidR="009F620C" w:rsidRPr="009F620C" w:rsidRDefault="009F620C" w:rsidP="00DC3237">
      <w:pPr>
        <w:numPr>
          <w:ilvl w:val="0"/>
          <w:numId w:val="34"/>
        </w:numPr>
        <w:spacing w:after="0"/>
        <w:ind w:left="714" w:hanging="357"/>
        <w:rPr>
          <w:rFonts w:ascii="Calibri" w:hAnsi="Calibri" w:cs="Calibri"/>
          <w:sz w:val="20"/>
          <w:szCs w:val="20"/>
        </w:rPr>
      </w:pPr>
      <w:r w:rsidRPr="009F620C">
        <w:rPr>
          <w:rFonts w:ascii="Calibri" w:hAnsi="Calibri" w:cs="Calibri"/>
          <w:sz w:val="20"/>
          <w:szCs w:val="20"/>
        </w:rPr>
        <w:t>Ensure that the potential Service User is aware of the proposed medication changes (or that no medication changes are required). </w:t>
      </w:r>
    </w:p>
    <w:p w14:paraId="6ED2AC02" w14:textId="77777777" w:rsidR="009F620C" w:rsidRPr="009F620C" w:rsidRDefault="009F620C" w:rsidP="00DC3237">
      <w:pPr>
        <w:numPr>
          <w:ilvl w:val="0"/>
          <w:numId w:val="35"/>
        </w:numPr>
        <w:spacing w:after="0"/>
        <w:ind w:left="714" w:hanging="357"/>
        <w:rPr>
          <w:rFonts w:ascii="Calibri" w:hAnsi="Calibri" w:cs="Calibri"/>
          <w:sz w:val="20"/>
          <w:szCs w:val="20"/>
        </w:rPr>
      </w:pPr>
      <w:r w:rsidRPr="009F620C">
        <w:rPr>
          <w:rFonts w:ascii="Calibri" w:hAnsi="Calibri" w:cs="Calibri"/>
          <w:sz w:val="20"/>
          <w:szCs w:val="20"/>
        </w:rPr>
        <w:t>Ensure that, prior to the first day of TDR Phase, the Service User understands the specific medication changes that are required (or that no medication changes are required) </w:t>
      </w:r>
    </w:p>
    <w:p w14:paraId="231DB274" w14:textId="77777777" w:rsidR="009F620C" w:rsidRPr="009F620C" w:rsidRDefault="009F620C" w:rsidP="00DC3237">
      <w:pPr>
        <w:numPr>
          <w:ilvl w:val="0"/>
          <w:numId w:val="36"/>
        </w:numPr>
        <w:spacing w:after="0"/>
        <w:ind w:left="714" w:hanging="357"/>
        <w:rPr>
          <w:rFonts w:ascii="Calibri" w:hAnsi="Calibri" w:cs="Calibri"/>
          <w:sz w:val="20"/>
          <w:szCs w:val="20"/>
        </w:rPr>
      </w:pPr>
      <w:r w:rsidRPr="009F620C">
        <w:rPr>
          <w:rFonts w:ascii="Calibri" w:hAnsi="Calibri" w:cs="Calibri"/>
          <w:sz w:val="20"/>
          <w:szCs w:val="20"/>
        </w:rPr>
        <w:t>Perform / arrange for monitoring of capillary blood glucose and blood pressure (in people taking BP-lowering medications at time of referral)  </w:t>
      </w:r>
    </w:p>
    <w:p w14:paraId="4553CB01" w14:textId="77777777" w:rsidR="009F620C" w:rsidRPr="009F620C" w:rsidRDefault="009F620C" w:rsidP="00DC3237">
      <w:pPr>
        <w:numPr>
          <w:ilvl w:val="0"/>
          <w:numId w:val="37"/>
        </w:numPr>
        <w:spacing w:after="0"/>
        <w:ind w:left="714" w:hanging="357"/>
        <w:rPr>
          <w:rFonts w:ascii="Calibri" w:hAnsi="Calibri" w:cs="Calibri"/>
          <w:sz w:val="20"/>
          <w:szCs w:val="20"/>
        </w:rPr>
      </w:pPr>
      <w:r w:rsidRPr="009F620C">
        <w:rPr>
          <w:rFonts w:ascii="Calibri" w:hAnsi="Calibri" w:cs="Calibri"/>
          <w:sz w:val="20"/>
          <w:szCs w:val="20"/>
        </w:rPr>
        <w:t>Identify where capillary blood glucose and blood pressure fall outside of specified parameters and communicate appropriately with GP practice for further action  </w:t>
      </w:r>
    </w:p>
    <w:p w14:paraId="3A9FCE6A" w14:textId="77777777" w:rsidR="009F620C" w:rsidRPr="009F620C" w:rsidRDefault="009F620C" w:rsidP="00DC3237">
      <w:pPr>
        <w:numPr>
          <w:ilvl w:val="0"/>
          <w:numId w:val="38"/>
        </w:numPr>
        <w:spacing w:after="0"/>
        <w:rPr>
          <w:rFonts w:ascii="Calibri" w:hAnsi="Calibri" w:cs="Calibri"/>
          <w:sz w:val="20"/>
          <w:szCs w:val="20"/>
        </w:rPr>
      </w:pPr>
      <w:r w:rsidRPr="009F620C">
        <w:rPr>
          <w:rFonts w:ascii="Calibri" w:hAnsi="Calibri" w:cs="Calibri"/>
          <w:sz w:val="20"/>
          <w:szCs w:val="20"/>
        </w:rPr>
        <w:t>Act as initial contact for patients experiencing a concurrent or adverse event which is not considered an emergency  </w:t>
      </w:r>
    </w:p>
    <w:p w14:paraId="1FBE8550" w14:textId="77777777" w:rsidR="009F620C" w:rsidRPr="009F620C" w:rsidRDefault="009F620C" w:rsidP="00DC3237">
      <w:pPr>
        <w:numPr>
          <w:ilvl w:val="0"/>
          <w:numId w:val="39"/>
        </w:numPr>
        <w:spacing w:after="0"/>
        <w:rPr>
          <w:rFonts w:ascii="Calibri" w:hAnsi="Calibri" w:cs="Calibri"/>
          <w:sz w:val="20"/>
          <w:szCs w:val="20"/>
        </w:rPr>
      </w:pPr>
      <w:r w:rsidRPr="009F620C">
        <w:rPr>
          <w:rFonts w:ascii="Calibri" w:hAnsi="Calibri" w:cs="Calibri"/>
          <w:sz w:val="20"/>
          <w:szCs w:val="20"/>
        </w:rPr>
        <w:t>Appropriately triage and respond to adverse events –including signposting the patient to the GP practice or to other services  </w:t>
      </w:r>
    </w:p>
    <w:p w14:paraId="6B0D0881" w14:textId="77777777" w:rsidR="009F620C" w:rsidRPr="009F620C" w:rsidRDefault="009F620C" w:rsidP="00DC3237">
      <w:pPr>
        <w:numPr>
          <w:ilvl w:val="0"/>
          <w:numId w:val="40"/>
        </w:numPr>
        <w:spacing w:after="0"/>
        <w:rPr>
          <w:rFonts w:ascii="Calibri" w:hAnsi="Calibri" w:cs="Calibri"/>
          <w:sz w:val="20"/>
          <w:szCs w:val="20"/>
        </w:rPr>
      </w:pPr>
      <w:r w:rsidRPr="009F620C">
        <w:rPr>
          <w:rFonts w:ascii="Calibri" w:hAnsi="Calibri" w:cs="Calibri"/>
          <w:sz w:val="20"/>
          <w:szCs w:val="20"/>
        </w:rPr>
        <w:t>Provide a starter pack of fibre supplements and ongoing supply as necessary  </w:t>
      </w:r>
    </w:p>
    <w:p w14:paraId="6E0C30C6" w14:textId="77777777" w:rsidR="009F620C" w:rsidRPr="009F620C" w:rsidRDefault="009F620C" w:rsidP="00DC3237">
      <w:pPr>
        <w:numPr>
          <w:ilvl w:val="0"/>
          <w:numId w:val="41"/>
        </w:numPr>
        <w:spacing w:after="0"/>
        <w:rPr>
          <w:rFonts w:ascii="Calibri" w:hAnsi="Calibri" w:cs="Calibri"/>
          <w:sz w:val="20"/>
          <w:szCs w:val="20"/>
        </w:rPr>
      </w:pPr>
      <w:r w:rsidRPr="009F620C">
        <w:rPr>
          <w:rFonts w:ascii="Calibri" w:hAnsi="Calibri" w:cs="Calibri"/>
          <w:sz w:val="20"/>
          <w:szCs w:val="20"/>
        </w:rPr>
        <w:t>Optimise uptake and retention on the programme  </w:t>
      </w:r>
    </w:p>
    <w:p w14:paraId="7BBDECC3" w14:textId="77777777" w:rsidR="009F620C" w:rsidRPr="007C5AC8" w:rsidRDefault="009F620C" w:rsidP="00656AFF">
      <w:pPr>
        <w:spacing w:after="80"/>
        <w:rPr>
          <w:rFonts w:ascii="Calibri" w:hAnsi="Calibri" w:cs="Calibri"/>
          <w:sz w:val="20"/>
          <w:szCs w:val="20"/>
        </w:rPr>
      </w:pPr>
    </w:p>
    <w:sectPr w:rsidR="009F620C" w:rsidRPr="007C5A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1FDA" w14:textId="77777777" w:rsidR="006D3064" w:rsidRDefault="006D3064" w:rsidP="006D3064">
      <w:pPr>
        <w:spacing w:after="0" w:line="240" w:lineRule="auto"/>
      </w:pPr>
      <w:r>
        <w:separator/>
      </w:r>
    </w:p>
  </w:endnote>
  <w:endnote w:type="continuationSeparator" w:id="0">
    <w:p w14:paraId="2288FCD9" w14:textId="77777777" w:rsidR="006D3064" w:rsidRDefault="006D3064" w:rsidP="006D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79F2BC" w14:paraId="276769A8" w14:textId="77777777" w:rsidTr="0B79F2BC">
      <w:trPr>
        <w:trHeight w:val="300"/>
      </w:trPr>
      <w:tc>
        <w:tcPr>
          <w:tcW w:w="3005" w:type="dxa"/>
        </w:tcPr>
        <w:p w14:paraId="5A295609" w14:textId="0FE0C1E6" w:rsidR="0B79F2BC" w:rsidRDefault="0B79F2BC" w:rsidP="0B79F2BC">
          <w:pPr>
            <w:pStyle w:val="Header"/>
            <w:ind w:left="-115"/>
          </w:pPr>
        </w:p>
      </w:tc>
      <w:tc>
        <w:tcPr>
          <w:tcW w:w="3005" w:type="dxa"/>
        </w:tcPr>
        <w:p w14:paraId="224B92A2" w14:textId="307136DD" w:rsidR="0B79F2BC" w:rsidRDefault="0B79F2BC" w:rsidP="0B79F2BC">
          <w:pPr>
            <w:pStyle w:val="Header"/>
            <w:jc w:val="center"/>
          </w:pPr>
        </w:p>
      </w:tc>
      <w:tc>
        <w:tcPr>
          <w:tcW w:w="3005" w:type="dxa"/>
        </w:tcPr>
        <w:p w14:paraId="234CDCD8" w14:textId="1E18EB8B" w:rsidR="0B79F2BC" w:rsidRDefault="0B79F2BC" w:rsidP="0B79F2BC">
          <w:pPr>
            <w:pStyle w:val="Header"/>
            <w:ind w:right="-115"/>
            <w:jc w:val="right"/>
          </w:pPr>
        </w:p>
      </w:tc>
    </w:tr>
  </w:tbl>
  <w:p w14:paraId="7E33A4B4" w14:textId="48A1D81A" w:rsidR="0B79F2BC" w:rsidRDefault="0B79F2BC" w:rsidP="0B79F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7723" w14:textId="77777777" w:rsidR="006D3064" w:rsidRDefault="006D3064" w:rsidP="006D3064">
      <w:pPr>
        <w:spacing w:after="0" w:line="240" w:lineRule="auto"/>
      </w:pPr>
      <w:r>
        <w:separator/>
      </w:r>
    </w:p>
  </w:footnote>
  <w:footnote w:type="continuationSeparator" w:id="0">
    <w:p w14:paraId="1845A3AE" w14:textId="77777777" w:rsidR="006D3064" w:rsidRDefault="006D3064" w:rsidP="006D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D49C" w14:textId="1B8ECB39" w:rsidR="006D3064" w:rsidRDefault="006D3064">
    <w:pPr>
      <w:pStyle w:val="Header"/>
    </w:pPr>
    <w:r>
      <w:rPr>
        <w:noProof/>
      </w:rPr>
      <w:drawing>
        <wp:anchor distT="0" distB="0" distL="114300" distR="114300" simplePos="0" relativeHeight="251658240" behindDoc="1" locked="0" layoutInCell="1" allowOverlap="1" wp14:anchorId="501717EE" wp14:editId="33C1F9F7">
          <wp:simplePos x="0" y="0"/>
          <wp:positionH relativeFrom="page">
            <wp:posOffset>9053</wp:posOffset>
          </wp:positionH>
          <wp:positionV relativeFrom="paragraph">
            <wp:posOffset>-440526</wp:posOffset>
          </wp:positionV>
          <wp:extent cx="7548245" cy="9596674"/>
          <wp:effectExtent l="0" t="0" r="0" b="0"/>
          <wp:wrapNone/>
          <wp:docPr id="625800773"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00773" name="Picture 1" descr="A black background with a black border&#10;&#10;AI-generated content may be incorrect."/>
                  <pic:cNvPicPr/>
                </pic:nvPicPr>
                <pic:blipFill rotWithShape="1">
                  <a:blip r:embed="rId1">
                    <a:extLst>
                      <a:ext uri="{28A0092B-C50C-407E-A947-70E740481C1C}">
                        <a14:useLocalDpi xmlns:a14="http://schemas.microsoft.com/office/drawing/2010/main" val="0"/>
                      </a:ext>
                    </a:extLst>
                  </a:blip>
                  <a:srcRect b="10116"/>
                  <a:stretch>
                    <a:fillRect/>
                  </a:stretch>
                </pic:blipFill>
                <pic:spPr bwMode="auto">
                  <a:xfrm>
                    <a:off x="0" y="0"/>
                    <a:ext cx="7548784" cy="9597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D49"/>
    <w:multiLevelType w:val="multilevel"/>
    <w:tmpl w:val="69B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D2536"/>
    <w:multiLevelType w:val="multilevel"/>
    <w:tmpl w:val="6DE0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52B59"/>
    <w:multiLevelType w:val="multilevel"/>
    <w:tmpl w:val="7B10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21DC6"/>
    <w:multiLevelType w:val="multilevel"/>
    <w:tmpl w:val="DCB0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621B3"/>
    <w:multiLevelType w:val="multilevel"/>
    <w:tmpl w:val="3650E41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0DD97C9C"/>
    <w:multiLevelType w:val="multilevel"/>
    <w:tmpl w:val="6BC8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A3CA4"/>
    <w:multiLevelType w:val="multilevel"/>
    <w:tmpl w:val="389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C5F4F"/>
    <w:multiLevelType w:val="multilevel"/>
    <w:tmpl w:val="289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4F7A68"/>
    <w:multiLevelType w:val="multilevel"/>
    <w:tmpl w:val="604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66226"/>
    <w:multiLevelType w:val="multilevel"/>
    <w:tmpl w:val="231E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B33233"/>
    <w:multiLevelType w:val="multilevel"/>
    <w:tmpl w:val="16B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BA0632"/>
    <w:multiLevelType w:val="multilevel"/>
    <w:tmpl w:val="D7CA19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2D172F5"/>
    <w:multiLevelType w:val="multilevel"/>
    <w:tmpl w:val="F69667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25294850"/>
    <w:multiLevelType w:val="multilevel"/>
    <w:tmpl w:val="CE7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8199F"/>
    <w:multiLevelType w:val="multilevel"/>
    <w:tmpl w:val="4562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E22AB"/>
    <w:multiLevelType w:val="multilevel"/>
    <w:tmpl w:val="6E1A576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366F7520"/>
    <w:multiLevelType w:val="multilevel"/>
    <w:tmpl w:val="22E4E8C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3CC87F41"/>
    <w:multiLevelType w:val="multilevel"/>
    <w:tmpl w:val="77D8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C6995"/>
    <w:multiLevelType w:val="multilevel"/>
    <w:tmpl w:val="92DE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ED2F1D"/>
    <w:multiLevelType w:val="multilevel"/>
    <w:tmpl w:val="4AD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E02E0C"/>
    <w:multiLevelType w:val="multilevel"/>
    <w:tmpl w:val="91AC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F5143E"/>
    <w:multiLevelType w:val="multilevel"/>
    <w:tmpl w:val="81E4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E405C0"/>
    <w:multiLevelType w:val="multilevel"/>
    <w:tmpl w:val="A104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608C5"/>
    <w:multiLevelType w:val="multilevel"/>
    <w:tmpl w:val="3E56DCF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4" w15:restartNumberingAfterBreak="0">
    <w:nsid w:val="55335261"/>
    <w:multiLevelType w:val="multilevel"/>
    <w:tmpl w:val="4F3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FF3F3E"/>
    <w:multiLevelType w:val="multilevel"/>
    <w:tmpl w:val="E766B93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6" w15:restartNumberingAfterBreak="0">
    <w:nsid w:val="5A6D4002"/>
    <w:multiLevelType w:val="multilevel"/>
    <w:tmpl w:val="B4523B5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5EC441F0"/>
    <w:multiLevelType w:val="multilevel"/>
    <w:tmpl w:val="A2B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5367A2"/>
    <w:multiLevelType w:val="multilevel"/>
    <w:tmpl w:val="EB7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930143"/>
    <w:multiLevelType w:val="multilevel"/>
    <w:tmpl w:val="114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DA4D7D"/>
    <w:multiLevelType w:val="multilevel"/>
    <w:tmpl w:val="F91E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9420F9"/>
    <w:multiLevelType w:val="multilevel"/>
    <w:tmpl w:val="663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1C0402"/>
    <w:multiLevelType w:val="multilevel"/>
    <w:tmpl w:val="D2F6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677CC1"/>
    <w:multiLevelType w:val="multilevel"/>
    <w:tmpl w:val="A232F3B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73BF26C9"/>
    <w:multiLevelType w:val="multilevel"/>
    <w:tmpl w:val="6ABE711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5" w15:restartNumberingAfterBreak="0">
    <w:nsid w:val="778E5506"/>
    <w:multiLevelType w:val="multilevel"/>
    <w:tmpl w:val="3C9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C05136"/>
    <w:multiLevelType w:val="multilevel"/>
    <w:tmpl w:val="9DF0AF3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787C028C"/>
    <w:multiLevelType w:val="multilevel"/>
    <w:tmpl w:val="CD640C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8" w15:restartNumberingAfterBreak="0">
    <w:nsid w:val="7C731509"/>
    <w:multiLevelType w:val="multilevel"/>
    <w:tmpl w:val="836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7324CA"/>
    <w:multiLevelType w:val="multilevel"/>
    <w:tmpl w:val="2D8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564936"/>
    <w:multiLevelType w:val="multilevel"/>
    <w:tmpl w:val="A37C7E5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1489398604">
    <w:abstractNumId w:val="8"/>
  </w:num>
  <w:num w:numId="2" w16cid:durableId="645360298">
    <w:abstractNumId w:val="0"/>
  </w:num>
  <w:num w:numId="3" w16cid:durableId="1918585578">
    <w:abstractNumId w:val="22"/>
  </w:num>
  <w:num w:numId="4" w16cid:durableId="2122071548">
    <w:abstractNumId w:val="18"/>
  </w:num>
  <w:num w:numId="5" w16cid:durableId="633410183">
    <w:abstractNumId w:val="12"/>
  </w:num>
  <w:num w:numId="6" w16cid:durableId="162211198">
    <w:abstractNumId w:val="39"/>
  </w:num>
  <w:num w:numId="7" w16cid:durableId="24254299">
    <w:abstractNumId w:val="40"/>
  </w:num>
  <w:num w:numId="8" w16cid:durableId="1131940084">
    <w:abstractNumId w:val="11"/>
  </w:num>
  <w:num w:numId="9" w16cid:durableId="635795855">
    <w:abstractNumId w:val="15"/>
  </w:num>
  <w:num w:numId="10" w16cid:durableId="1320226669">
    <w:abstractNumId w:val="20"/>
  </w:num>
  <w:num w:numId="11" w16cid:durableId="279531033">
    <w:abstractNumId w:val="2"/>
  </w:num>
  <w:num w:numId="12" w16cid:durableId="1192377810">
    <w:abstractNumId w:val="21"/>
  </w:num>
  <w:num w:numId="13" w16cid:durableId="778574217">
    <w:abstractNumId w:val="30"/>
  </w:num>
  <w:num w:numId="14" w16cid:durableId="1961952378">
    <w:abstractNumId w:val="23"/>
  </w:num>
  <w:num w:numId="15" w16cid:durableId="1736392954">
    <w:abstractNumId w:val="26"/>
  </w:num>
  <w:num w:numId="16" w16cid:durableId="584070212">
    <w:abstractNumId w:val="36"/>
  </w:num>
  <w:num w:numId="17" w16cid:durableId="2123650865">
    <w:abstractNumId w:val="25"/>
  </w:num>
  <w:num w:numId="18" w16cid:durableId="2026394055">
    <w:abstractNumId w:val="16"/>
  </w:num>
  <w:num w:numId="19" w16cid:durableId="432408555">
    <w:abstractNumId w:val="4"/>
  </w:num>
  <w:num w:numId="20" w16cid:durableId="1050879581">
    <w:abstractNumId w:val="33"/>
  </w:num>
  <w:num w:numId="21" w16cid:durableId="1762987678">
    <w:abstractNumId w:val="37"/>
  </w:num>
  <w:num w:numId="22" w16cid:durableId="1719236114">
    <w:abstractNumId w:val="34"/>
  </w:num>
  <w:num w:numId="23" w16cid:durableId="606815398">
    <w:abstractNumId w:val="31"/>
  </w:num>
  <w:num w:numId="24" w16cid:durableId="1262224587">
    <w:abstractNumId w:val="19"/>
  </w:num>
  <w:num w:numId="25" w16cid:durableId="2085563935">
    <w:abstractNumId w:val="7"/>
  </w:num>
  <w:num w:numId="26" w16cid:durableId="2079743827">
    <w:abstractNumId w:val="10"/>
  </w:num>
  <w:num w:numId="27" w16cid:durableId="477963179">
    <w:abstractNumId w:val="17"/>
  </w:num>
  <w:num w:numId="28" w16cid:durableId="1231384981">
    <w:abstractNumId w:val="5"/>
  </w:num>
  <w:num w:numId="29" w16cid:durableId="1904489227">
    <w:abstractNumId w:val="13"/>
  </w:num>
  <w:num w:numId="30" w16cid:durableId="2010406147">
    <w:abstractNumId w:val="35"/>
  </w:num>
  <w:num w:numId="31" w16cid:durableId="465507104">
    <w:abstractNumId w:val="6"/>
  </w:num>
  <w:num w:numId="32" w16cid:durableId="560599047">
    <w:abstractNumId w:val="29"/>
  </w:num>
  <w:num w:numId="33" w16cid:durableId="903560672">
    <w:abstractNumId w:val="1"/>
  </w:num>
  <w:num w:numId="34" w16cid:durableId="715935573">
    <w:abstractNumId w:val="3"/>
  </w:num>
  <w:num w:numId="35" w16cid:durableId="2006324987">
    <w:abstractNumId w:val="14"/>
  </w:num>
  <w:num w:numId="36" w16cid:durableId="1351639715">
    <w:abstractNumId w:val="28"/>
  </w:num>
  <w:num w:numId="37" w16cid:durableId="1532302883">
    <w:abstractNumId w:val="24"/>
  </w:num>
  <w:num w:numId="38" w16cid:durableId="2041781849">
    <w:abstractNumId w:val="38"/>
  </w:num>
  <w:num w:numId="39" w16cid:durableId="2058122154">
    <w:abstractNumId w:val="32"/>
  </w:num>
  <w:num w:numId="40" w16cid:durableId="1356619881">
    <w:abstractNumId w:val="9"/>
  </w:num>
  <w:num w:numId="41" w16cid:durableId="14309999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64"/>
    <w:rsid w:val="003C0CE5"/>
    <w:rsid w:val="00497659"/>
    <w:rsid w:val="005658E6"/>
    <w:rsid w:val="00656AFF"/>
    <w:rsid w:val="006D3064"/>
    <w:rsid w:val="0079488F"/>
    <w:rsid w:val="007C5AC8"/>
    <w:rsid w:val="009376B4"/>
    <w:rsid w:val="009F620C"/>
    <w:rsid w:val="00B83746"/>
    <w:rsid w:val="00BB1899"/>
    <w:rsid w:val="00BE0579"/>
    <w:rsid w:val="00DC3237"/>
    <w:rsid w:val="00F80854"/>
    <w:rsid w:val="0B79F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581D0"/>
  <w15:chartTrackingRefBased/>
  <w15:docId w15:val="{C07422F5-320C-4D98-94F4-501D1EAB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064"/>
    <w:rPr>
      <w:rFonts w:eastAsiaTheme="majorEastAsia" w:cstheme="majorBidi"/>
      <w:color w:val="272727" w:themeColor="text1" w:themeTint="D8"/>
    </w:rPr>
  </w:style>
  <w:style w:type="paragraph" w:styleId="Title">
    <w:name w:val="Title"/>
    <w:basedOn w:val="Normal"/>
    <w:next w:val="Normal"/>
    <w:link w:val="TitleChar"/>
    <w:uiPriority w:val="10"/>
    <w:qFormat/>
    <w:rsid w:val="006D3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064"/>
    <w:pPr>
      <w:spacing w:before="160"/>
      <w:jc w:val="center"/>
    </w:pPr>
    <w:rPr>
      <w:i/>
      <w:iCs/>
      <w:color w:val="404040" w:themeColor="text1" w:themeTint="BF"/>
    </w:rPr>
  </w:style>
  <w:style w:type="character" w:customStyle="1" w:styleId="QuoteChar">
    <w:name w:val="Quote Char"/>
    <w:basedOn w:val="DefaultParagraphFont"/>
    <w:link w:val="Quote"/>
    <w:uiPriority w:val="29"/>
    <w:rsid w:val="006D3064"/>
    <w:rPr>
      <w:i/>
      <w:iCs/>
      <w:color w:val="404040" w:themeColor="text1" w:themeTint="BF"/>
    </w:rPr>
  </w:style>
  <w:style w:type="paragraph" w:styleId="ListParagraph">
    <w:name w:val="List Paragraph"/>
    <w:basedOn w:val="Normal"/>
    <w:uiPriority w:val="34"/>
    <w:qFormat/>
    <w:rsid w:val="006D3064"/>
    <w:pPr>
      <w:ind w:left="720"/>
      <w:contextualSpacing/>
    </w:pPr>
  </w:style>
  <w:style w:type="character" w:styleId="IntenseEmphasis">
    <w:name w:val="Intense Emphasis"/>
    <w:basedOn w:val="DefaultParagraphFont"/>
    <w:uiPriority w:val="21"/>
    <w:qFormat/>
    <w:rsid w:val="006D3064"/>
    <w:rPr>
      <w:i/>
      <w:iCs/>
      <w:color w:val="0F4761" w:themeColor="accent1" w:themeShade="BF"/>
    </w:rPr>
  </w:style>
  <w:style w:type="paragraph" w:styleId="IntenseQuote">
    <w:name w:val="Intense Quote"/>
    <w:basedOn w:val="Normal"/>
    <w:next w:val="Normal"/>
    <w:link w:val="IntenseQuoteChar"/>
    <w:uiPriority w:val="30"/>
    <w:qFormat/>
    <w:rsid w:val="006D3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064"/>
    <w:rPr>
      <w:i/>
      <w:iCs/>
      <w:color w:val="0F4761" w:themeColor="accent1" w:themeShade="BF"/>
    </w:rPr>
  </w:style>
  <w:style w:type="character" w:styleId="IntenseReference">
    <w:name w:val="Intense Reference"/>
    <w:basedOn w:val="DefaultParagraphFont"/>
    <w:uiPriority w:val="32"/>
    <w:qFormat/>
    <w:rsid w:val="006D3064"/>
    <w:rPr>
      <w:b/>
      <w:bCs/>
      <w:smallCaps/>
      <w:color w:val="0F4761" w:themeColor="accent1" w:themeShade="BF"/>
      <w:spacing w:val="5"/>
    </w:rPr>
  </w:style>
  <w:style w:type="paragraph" w:styleId="Header">
    <w:name w:val="header"/>
    <w:basedOn w:val="Normal"/>
    <w:link w:val="HeaderChar"/>
    <w:uiPriority w:val="99"/>
    <w:unhideWhenUsed/>
    <w:rsid w:val="006D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064"/>
  </w:style>
  <w:style w:type="paragraph" w:styleId="Footer">
    <w:name w:val="footer"/>
    <w:basedOn w:val="Normal"/>
    <w:link w:val="FooterChar"/>
    <w:uiPriority w:val="99"/>
    <w:unhideWhenUsed/>
    <w:rsid w:val="006D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06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ab0869-ae37-4e90-a8b9-51f9a592261b" xsi:nil="true"/>
    <lcf76f155ced4ddcb4097134ff3c332f xmlns="6f556f20-0a99-4fbd-830b-3c9ef7616d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4DB2DF81E67F46BA139434D7C3BB80" ma:contentTypeVersion="25" ma:contentTypeDescription="Create a new document." ma:contentTypeScope="" ma:versionID="402611edd09bf6c3bd86c2313fdb37de">
  <xsd:schema xmlns:xsd="http://www.w3.org/2001/XMLSchema" xmlns:xs="http://www.w3.org/2001/XMLSchema" xmlns:p="http://schemas.microsoft.com/office/2006/metadata/properties" xmlns:ns2="6f556f20-0a99-4fbd-830b-3c9ef7616d92" xmlns:ns3="4eab0869-ae37-4e90-a8b9-51f9a592261b" targetNamespace="http://schemas.microsoft.com/office/2006/metadata/properties" ma:root="true" ma:fieldsID="b09e985a42275e64d3e12e2da075e419" ns2:_="" ns3:_="">
    <xsd:import namespace="6f556f20-0a99-4fbd-830b-3c9ef7616d92"/>
    <xsd:import namespace="4eab0869-ae37-4e90-a8b9-51f9a5922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56f20-0a99-4fbd-830b-3c9ef7616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87c7f6-9e2a-433c-ad37-1c42964d11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b0869-ae37-4e90-a8b9-51f9a59226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f4f90-a076-4940-9396-f03a25f1673e}" ma:internalName="TaxCatchAll" ma:showField="CatchAllData" ma:web="4eab0869-ae37-4e90-a8b9-51f9a5922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7624F-FF2B-467C-B4D5-B0BF440C8024}">
  <ds:schemaRefs>
    <ds:schemaRef ds:uri="http://schemas.microsoft.com/office/2006/metadata/properties"/>
    <ds:schemaRef ds:uri="http://schemas.microsoft.com/office/infopath/2007/PartnerControls"/>
    <ds:schemaRef ds:uri="4eab0869-ae37-4e90-a8b9-51f9a592261b"/>
    <ds:schemaRef ds:uri="6f556f20-0a99-4fbd-830b-3c9ef7616d92"/>
  </ds:schemaRefs>
</ds:datastoreItem>
</file>

<file path=customXml/itemProps2.xml><?xml version="1.0" encoding="utf-8"?>
<ds:datastoreItem xmlns:ds="http://schemas.openxmlformats.org/officeDocument/2006/customXml" ds:itemID="{C0C64381-F353-459C-874A-B4CE47639860}">
  <ds:schemaRefs>
    <ds:schemaRef ds:uri="http://schemas.microsoft.com/sharepoint/v3/contenttype/forms"/>
  </ds:schemaRefs>
</ds:datastoreItem>
</file>

<file path=customXml/itemProps3.xml><?xml version="1.0" encoding="utf-8"?>
<ds:datastoreItem xmlns:ds="http://schemas.openxmlformats.org/officeDocument/2006/customXml" ds:itemID="{587EC9BE-3E11-4D64-9B96-57B63BD49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56f20-0a99-4fbd-830b-3c9ef7616d92"/>
    <ds:schemaRef ds:uri="4eab0869-ae37-4e90-a8b9-51f9a5922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Gant</dc:creator>
  <cp:keywords/>
  <dc:description/>
  <cp:lastModifiedBy>Sally Arrowsmith</cp:lastModifiedBy>
  <cp:revision>7</cp:revision>
  <dcterms:created xsi:type="dcterms:W3CDTF">2025-11-26T09:35:00Z</dcterms:created>
  <dcterms:modified xsi:type="dcterms:W3CDTF">2025-11-26T09:40:00Z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0x010100594DB2DF81E67F46BA139434D7C3BB80</vt:lpwstr>
  </property>
  <property fmtid="{D5CDD505-2E9C-101B-9397-08002B2CF9AE}" pid="3" name="MediaServiceImageTags">
    <vt:lpwstr/>
  </property>
</Properties>
</file>