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AA38" w14:textId="77777777" w:rsidR="00084B12" w:rsidRDefault="00427DD2" w:rsidP="60308D58">
      <w:pPr>
        <w:spacing w:after="158"/>
        <w:jc w:val="center"/>
        <w:rPr>
          <w:rFonts w:ascii="Rubik" w:eastAsia="Arial" w:hAnsi="Rubik" w:cs="Rubik"/>
          <w:b/>
          <w:bCs/>
          <w:sz w:val="28"/>
          <w:szCs w:val="28"/>
        </w:rPr>
      </w:pPr>
      <w:r w:rsidRPr="00663632">
        <w:rPr>
          <w:rFonts w:ascii="Rubik" w:eastAsia="Arial" w:hAnsi="Rubik" w:cs="Rubik"/>
          <w:b/>
          <w:bCs/>
          <w:sz w:val="28"/>
          <w:szCs w:val="28"/>
        </w:rPr>
        <w:t xml:space="preserve">NHS Type 2 Diabetes Path to Remission Referrer FAQs </w:t>
      </w:r>
    </w:p>
    <w:p w14:paraId="371B9E29" w14:textId="77777777" w:rsidR="00663632" w:rsidRPr="00663632" w:rsidRDefault="00663632" w:rsidP="60308D58">
      <w:pPr>
        <w:spacing w:after="158"/>
        <w:jc w:val="center"/>
        <w:rPr>
          <w:rFonts w:ascii="Rubik" w:hAnsi="Rubik" w:cs="Rubik"/>
        </w:rPr>
      </w:pPr>
    </w:p>
    <w:sdt>
      <w:sdtPr>
        <w:rPr>
          <w:rFonts w:ascii="Rubik" w:eastAsia="Calibri" w:hAnsi="Rubik" w:cs="Rubik"/>
          <w:color w:val="000000"/>
          <w:kern w:val="2"/>
          <w:sz w:val="22"/>
          <w:szCs w:val="22"/>
          <w:shd w:val="clear" w:color="auto" w:fill="E6E6E6"/>
          <w:lang w:val="en-GB" w:eastAsia="en-GB"/>
          <w14:ligatures w14:val="standardContextual"/>
        </w:rPr>
        <w:id w:val="557051973"/>
        <w:docPartObj>
          <w:docPartGallery w:val="Table of Contents"/>
          <w:docPartUnique/>
        </w:docPartObj>
      </w:sdtPr>
      <w:sdtEndPr>
        <w:rPr>
          <w:b/>
          <w:bCs/>
          <w:noProof/>
          <w:color w:val="000000" w:themeColor="text1"/>
        </w:rPr>
      </w:sdtEndPr>
      <w:sdtContent>
        <w:p w14:paraId="4E82F6A0" w14:textId="1A72A0E2" w:rsidR="006F0DC5" w:rsidRPr="00663632" w:rsidRDefault="006F0DC5">
          <w:pPr>
            <w:pStyle w:val="TOCHeading"/>
            <w:rPr>
              <w:rFonts w:ascii="Rubik" w:hAnsi="Rubik" w:cs="Rubik"/>
            </w:rPr>
          </w:pPr>
          <w:r w:rsidRPr="00663632">
            <w:rPr>
              <w:rFonts w:ascii="Rubik" w:hAnsi="Rubik" w:cs="Rubik"/>
            </w:rPr>
            <w:t>Contents</w:t>
          </w:r>
        </w:p>
        <w:p w14:paraId="6F763A66" w14:textId="1CB2D1B4" w:rsidR="00015C3A" w:rsidRDefault="006F0DC5">
          <w:pPr>
            <w:pStyle w:val="TOC1"/>
            <w:tabs>
              <w:tab w:val="right" w:leader="dot" w:pos="9011"/>
            </w:tabs>
            <w:rPr>
              <w:rFonts w:asciiTheme="minorHAnsi" w:eastAsiaTheme="minorEastAsia" w:hAnsiTheme="minorHAnsi" w:cstheme="minorBidi"/>
              <w:noProof/>
              <w:color w:val="auto"/>
            </w:rPr>
          </w:pPr>
          <w:r w:rsidRPr="00663632">
            <w:rPr>
              <w:rFonts w:ascii="Rubik" w:hAnsi="Rubik" w:cs="Rubik"/>
              <w:color w:val="2B579A"/>
              <w:shd w:val="clear" w:color="auto" w:fill="E6E6E6"/>
            </w:rPr>
            <w:fldChar w:fldCharType="begin"/>
          </w:r>
          <w:r w:rsidRPr="00663632">
            <w:rPr>
              <w:rFonts w:ascii="Rubik" w:hAnsi="Rubik" w:cs="Rubik"/>
            </w:rPr>
            <w:instrText xml:space="preserve"> TOC \o "1-3" \h \z \u </w:instrText>
          </w:r>
          <w:r w:rsidRPr="00663632">
            <w:rPr>
              <w:rFonts w:ascii="Rubik" w:hAnsi="Rubik" w:cs="Rubik"/>
              <w:color w:val="2B579A"/>
              <w:shd w:val="clear" w:color="auto" w:fill="E6E6E6"/>
            </w:rPr>
            <w:fldChar w:fldCharType="separate"/>
          </w:r>
          <w:hyperlink w:anchor="_Toc161045178" w:history="1">
            <w:r w:rsidR="00015C3A" w:rsidRPr="00BD3E35">
              <w:rPr>
                <w:rStyle w:val="Hyperlink"/>
                <w:rFonts w:ascii="Rubik" w:hAnsi="Rubik" w:cs="Rubik"/>
                <w:noProof/>
              </w:rPr>
              <w:t>Programme Information</w:t>
            </w:r>
            <w:r w:rsidR="00015C3A">
              <w:rPr>
                <w:noProof/>
                <w:webHidden/>
              </w:rPr>
              <w:tab/>
            </w:r>
            <w:r w:rsidR="00015C3A">
              <w:rPr>
                <w:noProof/>
                <w:webHidden/>
                <w:color w:val="2B579A"/>
                <w:shd w:val="clear" w:color="auto" w:fill="E6E6E6"/>
              </w:rPr>
              <w:fldChar w:fldCharType="begin"/>
            </w:r>
            <w:r w:rsidR="00015C3A">
              <w:rPr>
                <w:noProof/>
                <w:webHidden/>
              </w:rPr>
              <w:instrText xml:space="preserve"> PAGEREF _Toc161045178 \h </w:instrText>
            </w:r>
            <w:r w:rsidR="00015C3A">
              <w:rPr>
                <w:noProof/>
                <w:webHidden/>
                <w:color w:val="2B579A"/>
                <w:shd w:val="clear" w:color="auto" w:fill="E6E6E6"/>
              </w:rPr>
            </w:r>
            <w:r w:rsidR="00015C3A">
              <w:rPr>
                <w:noProof/>
                <w:webHidden/>
                <w:color w:val="2B579A"/>
                <w:shd w:val="clear" w:color="auto" w:fill="E6E6E6"/>
              </w:rPr>
              <w:fldChar w:fldCharType="separate"/>
            </w:r>
            <w:r w:rsidR="00015C3A">
              <w:rPr>
                <w:noProof/>
                <w:webHidden/>
              </w:rPr>
              <w:t>1</w:t>
            </w:r>
            <w:r w:rsidR="00015C3A">
              <w:rPr>
                <w:noProof/>
                <w:webHidden/>
                <w:color w:val="2B579A"/>
                <w:shd w:val="clear" w:color="auto" w:fill="E6E6E6"/>
              </w:rPr>
              <w:fldChar w:fldCharType="end"/>
            </w:r>
          </w:hyperlink>
        </w:p>
        <w:p w14:paraId="25AB4E5F" w14:textId="538BB7AB" w:rsidR="00015C3A" w:rsidRDefault="00015C3A">
          <w:pPr>
            <w:pStyle w:val="TOC1"/>
            <w:tabs>
              <w:tab w:val="right" w:leader="dot" w:pos="9011"/>
            </w:tabs>
            <w:rPr>
              <w:rFonts w:asciiTheme="minorHAnsi" w:eastAsiaTheme="minorEastAsia" w:hAnsiTheme="minorHAnsi" w:cstheme="minorBidi"/>
              <w:noProof/>
              <w:color w:val="auto"/>
            </w:rPr>
          </w:pPr>
          <w:hyperlink w:anchor="_Toc161045179" w:history="1">
            <w:r w:rsidRPr="00BD3E35">
              <w:rPr>
                <w:rStyle w:val="Hyperlink"/>
                <w:rFonts w:ascii="Rubik" w:hAnsi="Rubik" w:cs="Rubik"/>
                <w:noProof/>
              </w:rPr>
              <w:t>Evidence for the NHS Type 2 Diabetes Path to Remission</w:t>
            </w:r>
            <w:r>
              <w:rPr>
                <w:noProof/>
                <w:webHidden/>
              </w:rPr>
              <w:tab/>
            </w:r>
            <w:r>
              <w:rPr>
                <w:noProof/>
                <w:webHidden/>
                <w:color w:val="2B579A"/>
                <w:shd w:val="clear" w:color="auto" w:fill="E6E6E6"/>
              </w:rPr>
              <w:fldChar w:fldCharType="begin"/>
            </w:r>
            <w:r>
              <w:rPr>
                <w:noProof/>
                <w:webHidden/>
              </w:rPr>
              <w:instrText xml:space="preserve"> PAGEREF _Toc161045179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37EA5AF8" w14:textId="6185E666" w:rsidR="00015C3A" w:rsidRDefault="00015C3A">
          <w:pPr>
            <w:pStyle w:val="TOC1"/>
            <w:tabs>
              <w:tab w:val="right" w:leader="dot" w:pos="9011"/>
            </w:tabs>
            <w:rPr>
              <w:rFonts w:asciiTheme="minorHAnsi" w:eastAsiaTheme="minorEastAsia" w:hAnsiTheme="minorHAnsi" w:cstheme="minorBidi"/>
              <w:noProof/>
              <w:color w:val="auto"/>
            </w:rPr>
          </w:pPr>
          <w:hyperlink w:anchor="_Toc161045180" w:history="1">
            <w:r w:rsidRPr="00BD3E35">
              <w:rPr>
                <w:rStyle w:val="Hyperlink"/>
                <w:rFonts w:ascii="Rubik" w:hAnsi="Rubik" w:cs="Rubik"/>
                <w:noProof/>
              </w:rPr>
              <w:t>Referring</w:t>
            </w:r>
            <w:r>
              <w:rPr>
                <w:noProof/>
                <w:webHidden/>
              </w:rPr>
              <w:tab/>
            </w:r>
            <w:r>
              <w:rPr>
                <w:noProof/>
                <w:webHidden/>
                <w:color w:val="2B579A"/>
                <w:shd w:val="clear" w:color="auto" w:fill="E6E6E6"/>
              </w:rPr>
              <w:fldChar w:fldCharType="begin"/>
            </w:r>
            <w:r>
              <w:rPr>
                <w:noProof/>
                <w:webHidden/>
              </w:rPr>
              <w:instrText xml:space="preserve"> PAGEREF _Toc161045180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34B0A85F" w14:textId="2E81CE68" w:rsidR="00015C3A" w:rsidRDefault="00015C3A">
          <w:pPr>
            <w:pStyle w:val="TOC1"/>
            <w:tabs>
              <w:tab w:val="right" w:leader="dot" w:pos="9011"/>
            </w:tabs>
            <w:rPr>
              <w:rFonts w:asciiTheme="minorHAnsi" w:eastAsiaTheme="minorEastAsia" w:hAnsiTheme="minorHAnsi" w:cstheme="minorBidi"/>
              <w:noProof/>
              <w:color w:val="auto"/>
            </w:rPr>
          </w:pPr>
          <w:hyperlink w:anchor="_Toc161045181" w:history="1">
            <w:r w:rsidRPr="00BD3E35">
              <w:rPr>
                <w:rStyle w:val="Hyperlink"/>
                <w:rFonts w:ascii="Rubik" w:hAnsi="Rubik" w:cs="Rubik"/>
                <w:noProof/>
              </w:rPr>
              <w:t>Total Diet Replacement (TDR) Products</w:t>
            </w:r>
            <w:r>
              <w:rPr>
                <w:noProof/>
                <w:webHidden/>
              </w:rPr>
              <w:tab/>
            </w:r>
            <w:r>
              <w:rPr>
                <w:noProof/>
                <w:webHidden/>
                <w:color w:val="2B579A"/>
                <w:shd w:val="clear" w:color="auto" w:fill="E6E6E6"/>
              </w:rPr>
              <w:fldChar w:fldCharType="begin"/>
            </w:r>
            <w:r>
              <w:rPr>
                <w:noProof/>
                <w:webHidden/>
              </w:rPr>
              <w:instrText xml:space="preserve"> PAGEREF _Toc161045181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78381AE7" w14:textId="2DE0A441" w:rsidR="00015C3A" w:rsidRDefault="00015C3A">
          <w:pPr>
            <w:pStyle w:val="TOC1"/>
            <w:tabs>
              <w:tab w:val="right" w:leader="dot" w:pos="9011"/>
            </w:tabs>
            <w:rPr>
              <w:rFonts w:asciiTheme="minorHAnsi" w:eastAsiaTheme="minorEastAsia" w:hAnsiTheme="minorHAnsi" w:cstheme="minorBidi"/>
              <w:noProof/>
              <w:color w:val="auto"/>
            </w:rPr>
          </w:pPr>
          <w:hyperlink w:anchor="_Toc161045182" w:history="1">
            <w:r w:rsidRPr="00BD3E35">
              <w:rPr>
                <w:rStyle w:val="Hyperlink"/>
                <w:rFonts w:ascii="Rubik" w:hAnsi="Rubik" w:cs="Rubik"/>
                <w:noProof/>
              </w:rPr>
              <w:t>Patient monitoring</w:t>
            </w:r>
            <w:r>
              <w:rPr>
                <w:noProof/>
                <w:webHidden/>
              </w:rPr>
              <w:tab/>
            </w:r>
            <w:r>
              <w:rPr>
                <w:noProof/>
                <w:webHidden/>
                <w:color w:val="2B579A"/>
                <w:shd w:val="clear" w:color="auto" w:fill="E6E6E6"/>
              </w:rPr>
              <w:fldChar w:fldCharType="begin"/>
            </w:r>
            <w:r>
              <w:rPr>
                <w:noProof/>
                <w:webHidden/>
              </w:rPr>
              <w:instrText xml:space="preserve"> PAGEREF _Toc161045182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113C4932" w14:textId="1B6CFA52" w:rsidR="006F0DC5" w:rsidRPr="00663632" w:rsidRDefault="006F0DC5">
          <w:pPr>
            <w:rPr>
              <w:rFonts w:ascii="Rubik" w:hAnsi="Rubik" w:cs="Rubik"/>
            </w:rPr>
          </w:pPr>
          <w:r w:rsidRPr="00663632">
            <w:rPr>
              <w:rFonts w:ascii="Rubik" w:hAnsi="Rubik" w:cs="Rubik"/>
              <w:b/>
              <w:bCs/>
              <w:noProof/>
              <w:color w:val="2B579A"/>
              <w:shd w:val="clear" w:color="auto" w:fill="E6E6E6"/>
            </w:rPr>
            <w:fldChar w:fldCharType="end"/>
          </w:r>
        </w:p>
      </w:sdtContent>
    </w:sdt>
    <w:p w14:paraId="728A2740" w14:textId="77777777" w:rsidR="004C7C3F" w:rsidRPr="00663632" w:rsidRDefault="004C7C3F" w:rsidP="004C7C3F">
      <w:pPr>
        <w:pStyle w:val="Heading1"/>
        <w:rPr>
          <w:rFonts w:ascii="Rubik" w:hAnsi="Rubik" w:cs="Rubik"/>
        </w:rPr>
      </w:pPr>
      <w:bookmarkStart w:id="0" w:name="_Toc161045178"/>
      <w:r w:rsidRPr="00663632">
        <w:rPr>
          <w:rFonts w:ascii="Rubik" w:hAnsi="Rubik" w:cs="Rubik"/>
        </w:rPr>
        <w:t>Programme Information</w:t>
      </w:r>
      <w:bookmarkEnd w:id="0"/>
      <w:r w:rsidRPr="00663632">
        <w:rPr>
          <w:rFonts w:ascii="Rubik" w:hAnsi="Rubik" w:cs="Rubik"/>
        </w:rPr>
        <w:t xml:space="preserve"> </w:t>
      </w:r>
    </w:p>
    <w:p w14:paraId="14E4BC25" w14:textId="77777777" w:rsidR="00E2218B" w:rsidRPr="00E2218B" w:rsidRDefault="00E2218B" w:rsidP="00E2218B">
      <w:pPr>
        <w:rPr>
          <w:rFonts w:ascii="Rubik" w:hAnsi="Rubik" w:cs="Rubik"/>
          <w:b/>
          <w:bCs/>
        </w:rPr>
      </w:pPr>
      <w:r w:rsidRPr="00E2218B">
        <w:rPr>
          <w:rFonts w:ascii="Rubik" w:hAnsi="Rubik" w:cs="Rubik"/>
          <w:b/>
          <w:bCs/>
        </w:rPr>
        <w:t>What is the NHS Type 2 Diabetes Path to Remission programme?</w:t>
      </w:r>
    </w:p>
    <w:p w14:paraId="26129DBA" w14:textId="2B6B21F9" w:rsidR="00E2218B" w:rsidRPr="00E2218B" w:rsidRDefault="00A52ED8" w:rsidP="00E2218B">
      <w:pPr>
        <w:rPr>
          <w:rFonts w:ascii="Rubik" w:hAnsi="Rubik" w:cs="Rubik"/>
        </w:rPr>
      </w:pPr>
      <w:r w:rsidRPr="00A52ED8">
        <w:rPr>
          <w:rFonts w:ascii="Rubik" w:hAnsi="Rubik" w:cs="Rubik"/>
        </w:rPr>
        <w:t xml:space="preserve">  </w:t>
      </w:r>
      <w:r w:rsidR="00E2218B" w:rsidRPr="00E2218B">
        <w:rPr>
          <w:rFonts w:ascii="Rubik" w:hAnsi="Rubik" w:cs="Rubik"/>
        </w:rPr>
        <w:t>The Type 2 Diabetes Path to Remission programme is a free service that aims to help people transform their health, lose weight and put their type 2 diabetes into remission.</w:t>
      </w:r>
    </w:p>
    <w:p w14:paraId="3B7F508B" w14:textId="77777777" w:rsidR="002E291C" w:rsidRDefault="002E291C" w:rsidP="002E291C">
      <w:pPr>
        <w:rPr>
          <w:rFonts w:ascii="Rubik" w:hAnsi="Rubik" w:cs="Rubik"/>
        </w:rPr>
      </w:pPr>
      <w:r w:rsidRPr="00A52ED8">
        <w:rPr>
          <w:rFonts w:ascii="Rubik" w:hAnsi="Rubik" w:cs="Rubik"/>
        </w:rPr>
        <w:t>Participants can choose their preferred method of delivery, of either digital or in-person face-to-face support.</w:t>
      </w:r>
    </w:p>
    <w:p w14:paraId="31BAA1FB" w14:textId="015E469C" w:rsidR="00B9346B" w:rsidRPr="00B9346B" w:rsidRDefault="00E2218B" w:rsidP="00B9346B">
      <w:pPr>
        <w:rPr>
          <w:rFonts w:ascii="Rubik" w:hAnsi="Rubik" w:cs="Rubik"/>
        </w:rPr>
      </w:pPr>
      <w:r w:rsidRPr="00E2218B">
        <w:rPr>
          <w:rFonts w:ascii="Rubik" w:hAnsi="Rubik" w:cs="Rubik"/>
        </w:rPr>
        <w:t>The programme takes place over 12 months, including a 12 week 800-</w:t>
      </w:r>
      <w:r>
        <w:rPr>
          <w:rFonts w:ascii="Rubik" w:hAnsi="Rubik" w:cs="Rubik"/>
        </w:rPr>
        <w:t>900</w:t>
      </w:r>
      <w:r w:rsidRPr="00E2218B">
        <w:rPr>
          <w:rFonts w:ascii="Rubik" w:hAnsi="Rubik" w:cs="Rubik"/>
        </w:rPr>
        <w:t xml:space="preserve"> kcal/day diet using meal replacement products such as shakes and soups. </w:t>
      </w:r>
      <w:r w:rsidR="00423078">
        <w:rPr>
          <w:rFonts w:ascii="Rubik" w:hAnsi="Rubik" w:cs="Rubik"/>
        </w:rPr>
        <w:t xml:space="preserve">Participants will </w:t>
      </w:r>
      <w:r w:rsidR="00B9346B" w:rsidRPr="00B9346B">
        <w:rPr>
          <w:rFonts w:ascii="Rubik" w:hAnsi="Rubik" w:cs="Rubik"/>
        </w:rPr>
        <w:t>be supported throughout the programme by your Health and Wellbeing Diabetes Practitioner via regular contact, with online learning and supporting resources.</w:t>
      </w:r>
    </w:p>
    <w:p w14:paraId="526B349D" w14:textId="77777777" w:rsidR="004C7C3F" w:rsidRPr="00663632" w:rsidRDefault="004C7C3F" w:rsidP="004C7C3F">
      <w:pPr>
        <w:spacing w:after="2" w:line="257" w:lineRule="auto"/>
        <w:rPr>
          <w:rFonts w:ascii="Rubik" w:hAnsi="Rubik" w:cs="Rubik"/>
        </w:rPr>
      </w:pPr>
      <w:r w:rsidRPr="00663632">
        <w:rPr>
          <w:rFonts w:ascii="Rubik" w:hAnsi="Rubik" w:cs="Rubik"/>
          <w:b/>
        </w:rPr>
        <w:t xml:space="preserve">Does the service have any cost for patients? </w:t>
      </w:r>
    </w:p>
    <w:p w14:paraId="03CDC737" w14:textId="3C3D145B" w:rsidR="004C7C3F" w:rsidRPr="005A45E3" w:rsidRDefault="004C7C3F" w:rsidP="005A45E3">
      <w:pPr>
        <w:spacing w:after="164" w:line="248" w:lineRule="auto"/>
        <w:rPr>
          <w:rFonts w:ascii="Rubik" w:hAnsi="Rubik" w:cs="Rubik"/>
        </w:rPr>
      </w:pPr>
      <w:r w:rsidRPr="00663632">
        <w:rPr>
          <w:rFonts w:ascii="Rubik" w:hAnsi="Rubik" w:cs="Rubik"/>
        </w:rPr>
        <w:t>No, the service is completely free for eligible patients.</w:t>
      </w:r>
      <w:r w:rsidRPr="00663632">
        <w:rPr>
          <w:rFonts w:ascii="Rubik" w:hAnsi="Rubik" w:cs="Rubik"/>
          <w:b/>
        </w:rPr>
        <w:t xml:space="preserve"> </w:t>
      </w:r>
    </w:p>
    <w:p w14:paraId="08604C7F" w14:textId="77777777" w:rsidR="004C7C3F" w:rsidRPr="00663632" w:rsidRDefault="004C7C3F" w:rsidP="004C7C3F">
      <w:pPr>
        <w:spacing w:after="158" w:line="257" w:lineRule="auto"/>
        <w:rPr>
          <w:rFonts w:ascii="Rubik" w:hAnsi="Rubik" w:cs="Rubik"/>
        </w:rPr>
      </w:pPr>
      <w:r w:rsidRPr="00663632">
        <w:rPr>
          <w:rFonts w:ascii="Rubik" w:hAnsi="Rubik" w:cs="Rubik"/>
          <w:b/>
          <w:bCs/>
        </w:rPr>
        <w:t xml:space="preserve">Are the diets tailored to different cultural requirements? </w:t>
      </w:r>
    </w:p>
    <w:p w14:paraId="71634A7F" w14:textId="77777777" w:rsidR="004C7C3F" w:rsidRPr="00663632" w:rsidRDefault="004C7C3F" w:rsidP="005A45E3">
      <w:pPr>
        <w:spacing w:after="167" w:line="248" w:lineRule="auto"/>
        <w:rPr>
          <w:rFonts w:ascii="Rubik" w:hAnsi="Rubik" w:cs="Rubik"/>
        </w:rPr>
      </w:pPr>
      <w:r w:rsidRPr="00663632">
        <w:rPr>
          <w:rFonts w:ascii="Rubik" w:hAnsi="Rubik" w:cs="Rubik"/>
        </w:rPr>
        <w:t>We adopt a patient centred approach. We provide different meal plans to support all our patients when reintroducing regular healthy meals. Our diabetes practitioners will support our patients in their decision making using the current government Eatwell guidelines which can be adapted to suit any specific cultural needs. Additionally, we have created culturally diverse recipes and recourses to support our patients' making decisions through cultural and religious festivals such as Christmas, Ramadhan, Diwali etc.</w:t>
      </w:r>
    </w:p>
    <w:p w14:paraId="092DEA58" w14:textId="77777777" w:rsidR="004C7C3F" w:rsidRPr="00663632" w:rsidRDefault="004C7C3F" w:rsidP="00036174">
      <w:pPr>
        <w:spacing w:after="158" w:line="257" w:lineRule="auto"/>
        <w:rPr>
          <w:rFonts w:ascii="Rubik" w:hAnsi="Rubik" w:cs="Rubik"/>
        </w:rPr>
      </w:pPr>
      <w:r w:rsidRPr="00663632">
        <w:rPr>
          <w:rFonts w:ascii="Rubik" w:hAnsi="Rubik" w:cs="Rubik"/>
          <w:b/>
          <w:bCs/>
        </w:rPr>
        <w:t>Can people join the programme more than once?</w:t>
      </w:r>
      <w:r w:rsidRPr="00663632">
        <w:rPr>
          <w:rFonts w:ascii="Rubik" w:hAnsi="Rubik" w:cs="Rubik"/>
        </w:rPr>
        <w:t xml:space="preserve">  </w:t>
      </w:r>
    </w:p>
    <w:p w14:paraId="4183DD5A" w14:textId="77777777" w:rsidR="004C7C3F" w:rsidRPr="00663632" w:rsidRDefault="004C7C3F" w:rsidP="005A45E3">
      <w:pPr>
        <w:spacing w:after="164" w:line="248" w:lineRule="auto"/>
        <w:rPr>
          <w:rFonts w:ascii="Rubik" w:hAnsi="Rubik" w:cs="Rubik"/>
        </w:rPr>
      </w:pPr>
      <w:r w:rsidRPr="00663632">
        <w:rPr>
          <w:rFonts w:ascii="Rubik" w:hAnsi="Rubik" w:cs="Rubik"/>
        </w:rPr>
        <w:t>Where an individual had previously started TDR and has subsequently been discharged from the programme for any reason, they would have to wait at least 12 months from point of discharge to be re-referred.</w:t>
      </w:r>
    </w:p>
    <w:p w14:paraId="7ACFA60D" w14:textId="77777777" w:rsidR="004C7C3F" w:rsidRPr="00663632" w:rsidRDefault="004C7C3F" w:rsidP="005A45E3">
      <w:pPr>
        <w:spacing w:after="164" w:line="248" w:lineRule="auto"/>
        <w:rPr>
          <w:rFonts w:ascii="Rubik" w:hAnsi="Rubik" w:cs="Rubik"/>
        </w:rPr>
      </w:pPr>
      <w:r w:rsidRPr="00663632">
        <w:rPr>
          <w:rFonts w:ascii="Rubik" w:hAnsi="Rubik" w:cs="Rubik"/>
        </w:rPr>
        <w:t>Where an individual had not previously started TDR, they can be referred at any point after being discharged.</w:t>
      </w:r>
    </w:p>
    <w:p w14:paraId="489522B9" w14:textId="77777777" w:rsidR="00C0221A" w:rsidRDefault="004C7C3F" w:rsidP="005A45E3">
      <w:pPr>
        <w:spacing w:after="164" w:line="248" w:lineRule="auto"/>
        <w:rPr>
          <w:rFonts w:ascii="Rubik" w:hAnsi="Rubik" w:cs="Rubik"/>
        </w:rPr>
      </w:pPr>
      <w:r w:rsidRPr="00663632">
        <w:rPr>
          <w:rFonts w:ascii="Rubik" w:hAnsi="Rubik" w:cs="Rubik"/>
        </w:rPr>
        <w:t>In all cases the patient must still meet the eligibility criteria.</w:t>
      </w:r>
    </w:p>
    <w:p w14:paraId="3098F89E" w14:textId="77777777" w:rsidR="005A45E3" w:rsidRDefault="005A45E3" w:rsidP="00C0221A">
      <w:pPr>
        <w:spacing w:after="164" w:line="248" w:lineRule="auto"/>
        <w:rPr>
          <w:rFonts w:ascii="Rubik" w:hAnsi="Rubik" w:cs="Rubik"/>
          <w:b/>
          <w:bCs/>
        </w:rPr>
      </w:pPr>
    </w:p>
    <w:p w14:paraId="39C5F101" w14:textId="75FB666C" w:rsidR="004C7C3F" w:rsidRPr="00C0221A" w:rsidRDefault="004C7C3F" w:rsidP="00C0221A">
      <w:pPr>
        <w:spacing w:after="164" w:line="248" w:lineRule="auto"/>
        <w:rPr>
          <w:rFonts w:ascii="Rubik" w:hAnsi="Rubik" w:cs="Rubik"/>
        </w:rPr>
      </w:pPr>
      <w:r w:rsidRPr="00663632">
        <w:rPr>
          <w:rFonts w:ascii="Rubik" w:hAnsi="Rubik" w:cs="Rubik"/>
          <w:b/>
          <w:bCs/>
        </w:rPr>
        <w:t xml:space="preserve">Can the patient be referred more than once? </w:t>
      </w:r>
    </w:p>
    <w:p w14:paraId="2995478A" w14:textId="77777777" w:rsidR="004C7C3F" w:rsidRPr="00663632" w:rsidRDefault="004C7C3F" w:rsidP="00C0221A">
      <w:pPr>
        <w:spacing w:after="154" w:line="248" w:lineRule="auto"/>
        <w:rPr>
          <w:rFonts w:ascii="Rubik" w:hAnsi="Rubik" w:cs="Rubik"/>
        </w:rPr>
      </w:pPr>
      <w:r w:rsidRPr="00663632">
        <w:rPr>
          <w:rFonts w:ascii="Rubik" w:hAnsi="Rubik" w:cs="Rubik"/>
        </w:rPr>
        <w:lastRenderedPageBreak/>
        <w:t>Yes, if they did not previously meet the eligibility criteria i.e., previously their HbA1c was not within the eligible range.</w:t>
      </w:r>
    </w:p>
    <w:p w14:paraId="5EE64FF9" w14:textId="77777777" w:rsidR="004C7C3F" w:rsidRPr="00663632" w:rsidRDefault="004C7C3F" w:rsidP="00C0221A">
      <w:pPr>
        <w:spacing w:after="154" w:line="248" w:lineRule="auto"/>
        <w:rPr>
          <w:rFonts w:ascii="Rubik" w:hAnsi="Rubik" w:cs="Rubik"/>
          <w:highlight w:val="yellow"/>
        </w:rPr>
      </w:pPr>
      <w:r w:rsidRPr="00663632">
        <w:rPr>
          <w:rFonts w:ascii="Rubik" w:hAnsi="Rubik" w:cs="Rubik"/>
        </w:rPr>
        <w:t xml:space="preserve">Additionally, the patient can be re-referred when 12 months has lapsed from point of discharge, if the referrer deems it suitable. </w:t>
      </w:r>
    </w:p>
    <w:p w14:paraId="4496F14D" w14:textId="77777777" w:rsidR="004C7C3F" w:rsidRPr="00663632" w:rsidRDefault="004C7C3F" w:rsidP="00F84AE8">
      <w:pPr>
        <w:spacing w:after="158" w:line="257" w:lineRule="auto"/>
        <w:rPr>
          <w:rFonts w:ascii="Rubik" w:hAnsi="Rubik" w:cs="Rubik"/>
        </w:rPr>
      </w:pPr>
      <w:r w:rsidRPr="00663632">
        <w:rPr>
          <w:rFonts w:ascii="Rubik" w:hAnsi="Rubik" w:cs="Rubik"/>
          <w:b/>
          <w:bCs/>
        </w:rPr>
        <w:t xml:space="preserve">What are patient information sessions?  </w:t>
      </w:r>
    </w:p>
    <w:p w14:paraId="6DB3FBC0" w14:textId="77777777" w:rsidR="004C7C3F" w:rsidRPr="00663632" w:rsidRDefault="004C7C3F" w:rsidP="00C0221A">
      <w:pPr>
        <w:spacing w:after="16" w:line="248" w:lineRule="auto"/>
        <w:rPr>
          <w:rFonts w:ascii="Rubik" w:hAnsi="Rubik" w:cs="Rubik"/>
        </w:rPr>
      </w:pPr>
      <w:r w:rsidRPr="00663632">
        <w:rPr>
          <w:rFonts w:ascii="Rubik" w:eastAsia="Segoe UI" w:hAnsi="Rubik" w:cs="Rubik"/>
          <w:color w:val="242424"/>
          <w:sz w:val="21"/>
        </w:rPr>
        <w:t>We r</w:t>
      </w:r>
      <w:r w:rsidRPr="00663632">
        <w:rPr>
          <w:rFonts w:ascii="Rubik" w:hAnsi="Rubik" w:cs="Rubik"/>
        </w:rPr>
        <w:t xml:space="preserve">un patient information sessions to support practices referring patients. The sessions will run via Microsoft Teams to provide eligible patients with an overview of what to expect from the programme. Each session will last 30-45 minutes.  </w:t>
      </w:r>
    </w:p>
    <w:p w14:paraId="2CCDDA5B" w14:textId="77777777" w:rsidR="004C7C3F" w:rsidRPr="00663632" w:rsidRDefault="004C7C3F" w:rsidP="004C7C3F">
      <w:pPr>
        <w:spacing w:after="0"/>
        <w:ind w:left="360"/>
        <w:rPr>
          <w:rFonts w:ascii="Rubik" w:hAnsi="Rubik" w:cs="Rubik"/>
        </w:rPr>
      </w:pPr>
      <w:r w:rsidRPr="00663632">
        <w:rPr>
          <w:rFonts w:ascii="Rubik" w:hAnsi="Rubik" w:cs="Rubik"/>
        </w:rPr>
        <w:t xml:space="preserve"> </w:t>
      </w:r>
    </w:p>
    <w:p w14:paraId="703E9438" w14:textId="58365F74" w:rsidR="004C7C3F" w:rsidRPr="00663632" w:rsidRDefault="004C7C3F" w:rsidP="00C0221A">
      <w:pPr>
        <w:spacing w:after="0" w:line="247" w:lineRule="auto"/>
        <w:rPr>
          <w:rFonts w:ascii="Rubik" w:hAnsi="Rubik" w:cs="Rubik"/>
        </w:rPr>
      </w:pPr>
      <w:r w:rsidRPr="00663632">
        <w:rPr>
          <w:rFonts w:ascii="Rubik" w:hAnsi="Rubik" w:cs="Rubik"/>
        </w:rPr>
        <w:t xml:space="preserve">Patients can book onto a session </w:t>
      </w:r>
      <w:hyperlink r:id="rId9" w:history="1">
        <w:r w:rsidRPr="00F84AE8">
          <w:rPr>
            <w:rStyle w:val="Hyperlink"/>
            <w:rFonts w:ascii="Rubik" w:hAnsi="Rubik" w:cs="Rubik"/>
          </w:rPr>
          <w:t>here</w:t>
        </w:r>
      </w:hyperlink>
    </w:p>
    <w:p w14:paraId="5FDA6C88" w14:textId="77777777" w:rsidR="004C7C3F" w:rsidRPr="00663632" w:rsidRDefault="004C7C3F" w:rsidP="004C7C3F">
      <w:pPr>
        <w:spacing w:after="0" w:line="247" w:lineRule="auto"/>
        <w:ind w:left="355" w:hanging="10"/>
        <w:rPr>
          <w:rFonts w:ascii="Rubik" w:hAnsi="Rubik" w:cs="Rubik"/>
        </w:rPr>
      </w:pPr>
    </w:p>
    <w:p w14:paraId="16503348" w14:textId="77777777" w:rsidR="00F84AE8" w:rsidRDefault="004C7C3F" w:rsidP="00C0221A">
      <w:pPr>
        <w:spacing w:after="0" w:line="247" w:lineRule="auto"/>
        <w:rPr>
          <w:rFonts w:ascii="Rubik" w:hAnsi="Rubik" w:cs="Rubik"/>
        </w:rPr>
      </w:pPr>
      <w:r w:rsidRPr="00663632">
        <w:rPr>
          <w:rFonts w:ascii="Rubik" w:hAnsi="Rubik" w:cs="Rubik"/>
        </w:rPr>
        <w:t>Additionally, you can request a face-to-face patient information session to be complete at your practice or at PCN level. Here we would work collaboratively to invite patients that meet the eligibility criteria, inform them of the programme and complete referrals for those that do wish to sign up.</w:t>
      </w:r>
    </w:p>
    <w:p w14:paraId="386A1A8C" w14:textId="77777777" w:rsidR="00F84AE8" w:rsidRDefault="00F84AE8" w:rsidP="00F84AE8">
      <w:pPr>
        <w:spacing w:after="0" w:line="247" w:lineRule="auto"/>
        <w:rPr>
          <w:rFonts w:ascii="Rubik" w:hAnsi="Rubik" w:cs="Rubik"/>
        </w:rPr>
      </w:pPr>
    </w:p>
    <w:p w14:paraId="3DA1BC6D" w14:textId="1DCC0F0D" w:rsidR="00F84AE8" w:rsidRPr="00F84AE8" w:rsidRDefault="00F84AE8" w:rsidP="00F84AE8">
      <w:pPr>
        <w:spacing w:after="0" w:line="247" w:lineRule="auto"/>
        <w:rPr>
          <w:rFonts w:ascii="Rubik" w:hAnsi="Rubik" w:cs="Rubik"/>
          <w:b/>
          <w:bCs/>
        </w:rPr>
      </w:pPr>
      <w:r w:rsidRPr="00F84AE8">
        <w:rPr>
          <w:rFonts w:ascii="Rubik" w:hAnsi="Rubik" w:cs="Rubik"/>
          <w:b/>
          <w:bCs/>
        </w:rPr>
        <w:t xml:space="preserve">Where can I find more information on the programme? </w:t>
      </w:r>
    </w:p>
    <w:p w14:paraId="520B77B6" w14:textId="77777777" w:rsidR="00015C3A" w:rsidRDefault="00015C3A" w:rsidP="00015C3A">
      <w:pPr>
        <w:spacing w:after="0" w:line="247" w:lineRule="auto"/>
        <w:rPr>
          <w:rFonts w:ascii="Rubik" w:hAnsi="Rubik" w:cs="Rubik"/>
        </w:rPr>
      </w:pPr>
    </w:p>
    <w:p w14:paraId="00C66E2E" w14:textId="6F9569DF" w:rsidR="00F84AE8" w:rsidRPr="00F84AE8" w:rsidRDefault="00F84AE8" w:rsidP="00015C3A">
      <w:pPr>
        <w:spacing w:after="0" w:line="247" w:lineRule="auto"/>
        <w:rPr>
          <w:rFonts w:ascii="Rubik" w:hAnsi="Rubik" w:cs="Rubik"/>
        </w:rPr>
      </w:pPr>
      <w:r w:rsidRPr="00F84AE8">
        <w:rPr>
          <w:rFonts w:ascii="Rubik" w:hAnsi="Rubik" w:cs="Rubik"/>
        </w:rPr>
        <w:t xml:space="preserve">Please refer to our </w:t>
      </w:r>
      <w:hyperlink r:id="rId10" w:history="1">
        <w:r w:rsidRPr="00F84AE8">
          <w:rPr>
            <w:rStyle w:val="Hyperlink"/>
            <w:rFonts w:ascii="Rubik" w:hAnsi="Rubik" w:cs="Rubik"/>
          </w:rPr>
          <w:t>website</w:t>
        </w:r>
      </w:hyperlink>
    </w:p>
    <w:p w14:paraId="6B695388" w14:textId="5E458AFA" w:rsidR="00084B12" w:rsidRPr="00663632" w:rsidRDefault="00084B12" w:rsidP="004C7C3F">
      <w:pPr>
        <w:spacing w:after="141"/>
        <w:ind w:left="82"/>
        <w:rPr>
          <w:rFonts w:ascii="Rubik" w:hAnsi="Rubik" w:cs="Rubik"/>
        </w:rPr>
      </w:pPr>
    </w:p>
    <w:p w14:paraId="4CBC2B60" w14:textId="0E0D7450" w:rsidR="00EE3F3F" w:rsidRPr="00663632" w:rsidRDefault="00427DD2" w:rsidP="0013251F">
      <w:pPr>
        <w:pStyle w:val="Heading1"/>
        <w:rPr>
          <w:rFonts w:ascii="Rubik" w:hAnsi="Rubik" w:cs="Rubik"/>
        </w:rPr>
      </w:pPr>
      <w:bookmarkStart w:id="1" w:name="_Toc161045179"/>
      <w:r w:rsidRPr="00663632">
        <w:rPr>
          <w:rFonts w:ascii="Rubik" w:hAnsi="Rubik" w:cs="Rubik"/>
        </w:rPr>
        <w:t>Evidence for the NHS Type 2 Diabetes Path to Remission</w:t>
      </w:r>
      <w:bookmarkEnd w:id="1"/>
      <w:r w:rsidRPr="00663632">
        <w:rPr>
          <w:rFonts w:ascii="Rubik" w:hAnsi="Rubik" w:cs="Rubik"/>
        </w:rPr>
        <w:t xml:space="preserve">  </w:t>
      </w:r>
    </w:p>
    <w:p w14:paraId="20B280B4" w14:textId="77777777" w:rsidR="0013251F" w:rsidRPr="00663632" w:rsidRDefault="0013251F" w:rsidP="0013251F">
      <w:pPr>
        <w:rPr>
          <w:rFonts w:ascii="Rubik" w:hAnsi="Rubik" w:cs="Rubik"/>
          <w:sz w:val="4"/>
          <w:szCs w:val="4"/>
        </w:rPr>
      </w:pPr>
    </w:p>
    <w:p w14:paraId="42B66E9C" w14:textId="344135E9" w:rsidR="00084B12" w:rsidRPr="00663632" w:rsidRDefault="00427DD2">
      <w:pPr>
        <w:spacing w:after="0"/>
        <w:ind w:left="-5" w:right="2206" w:hanging="10"/>
        <w:rPr>
          <w:rFonts w:ascii="Rubik" w:hAnsi="Rubik" w:cs="Rubik"/>
        </w:rPr>
      </w:pPr>
      <w:r w:rsidRPr="00663632">
        <w:rPr>
          <w:rFonts w:ascii="Rubik" w:hAnsi="Rubik" w:cs="Rubik"/>
          <w:b/>
        </w:rPr>
        <w:t xml:space="preserve">Is there any </w:t>
      </w:r>
      <w:r w:rsidR="00EE3F3F" w:rsidRPr="00663632">
        <w:rPr>
          <w:rFonts w:ascii="Rubik" w:hAnsi="Rubik" w:cs="Rubik"/>
          <w:b/>
        </w:rPr>
        <w:t>low-calorie</w:t>
      </w:r>
      <w:r w:rsidRPr="00663632">
        <w:rPr>
          <w:rFonts w:ascii="Rubik" w:hAnsi="Rubik" w:cs="Rubik"/>
          <w:b/>
        </w:rPr>
        <w:t xml:space="preserve"> diet trial data after one year?</w:t>
      </w:r>
      <w:r w:rsidRPr="00663632">
        <w:rPr>
          <w:rFonts w:ascii="Rubik" w:eastAsia="Arial" w:hAnsi="Rubik" w:cs="Rubik"/>
          <w:b/>
          <w:bCs/>
        </w:rPr>
        <w:t xml:space="preserve"> </w:t>
      </w:r>
    </w:p>
    <w:tbl>
      <w:tblPr>
        <w:tblStyle w:val="TableGrid"/>
        <w:tblW w:w="6251" w:type="dxa"/>
        <w:tblInd w:w="12" w:type="dxa"/>
        <w:tblCellMar>
          <w:top w:w="53" w:type="dxa"/>
          <w:left w:w="154" w:type="dxa"/>
          <w:right w:w="42" w:type="dxa"/>
        </w:tblCellMar>
        <w:tblLook w:val="04A0" w:firstRow="1" w:lastRow="0" w:firstColumn="1" w:lastColumn="0" w:noHBand="0" w:noVBand="1"/>
      </w:tblPr>
      <w:tblGrid>
        <w:gridCol w:w="3108"/>
        <w:gridCol w:w="1417"/>
        <w:gridCol w:w="1726"/>
      </w:tblGrid>
      <w:tr w:rsidR="00084B12" w:rsidRPr="00663632" w14:paraId="5CA6008B" w14:textId="77777777">
        <w:trPr>
          <w:trHeight w:val="881"/>
        </w:trPr>
        <w:tc>
          <w:tcPr>
            <w:tcW w:w="3107" w:type="dxa"/>
            <w:tcBorders>
              <w:top w:val="single" w:sz="8" w:space="0" w:color="000000"/>
              <w:left w:val="single" w:sz="8" w:space="0" w:color="000000"/>
              <w:bottom w:val="single" w:sz="8" w:space="0" w:color="000000"/>
              <w:right w:val="single" w:sz="8" w:space="0" w:color="000000"/>
            </w:tcBorders>
            <w:shd w:val="clear" w:color="auto" w:fill="D9E2F3"/>
          </w:tcPr>
          <w:p w14:paraId="6BBE2738" w14:textId="77777777" w:rsidR="00084B12" w:rsidRPr="00663632" w:rsidRDefault="00427DD2">
            <w:pPr>
              <w:ind w:right="57"/>
              <w:jc w:val="center"/>
              <w:rPr>
                <w:rFonts w:ascii="Rubik" w:hAnsi="Rubik" w:cs="Rubik"/>
              </w:rPr>
            </w:pPr>
            <w:r w:rsidRPr="00663632">
              <w:rPr>
                <w:rFonts w:ascii="Rubik" w:eastAsia="Arial" w:hAnsi="Rubik" w:cs="Rubik"/>
                <w:b/>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D9E2F3"/>
          </w:tcPr>
          <w:p w14:paraId="78F3734C" w14:textId="77777777" w:rsidR="00084B12" w:rsidRPr="00663632" w:rsidRDefault="00427DD2">
            <w:pPr>
              <w:spacing w:after="158"/>
              <w:ind w:left="11"/>
              <w:rPr>
                <w:rFonts w:ascii="Rubik" w:hAnsi="Rubik" w:cs="Rubik"/>
              </w:rPr>
            </w:pPr>
            <w:r w:rsidRPr="00663632">
              <w:rPr>
                <w:rFonts w:ascii="Rubik" w:eastAsia="Arial" w:hAnsi="Rubik" w:cs="Rubik"/>
                <w:b/>
              </w:rPr>
              <w:t xml:space="preserve">Direct trial  </w:t>
            </w:r>
          </w:p>
          <w:p w14:paraId="2E9B1070" w14:textId="77777777" w:rsidR="00084B12" w:rsidRPr="00663632" w:rsidRDefault="00427DD2">
            <w:pPr>
              <w:ind w:right="111"/>
              <w:jc w:val="center"/>
              <w:rPr>
                <w:rFonts w:ascii="Rubik" w:hAnsi="Rubik" w:cs="Rubik"/>
              </w:rPr>
            </w:pPr>
            <w:r w:rsidRPr="00663632">
              <w:rPr>
                <w:rFonts w:ascii="Rubik" w:eastAsia="Arial" w:hAnsi="Rubik" w:cs="Rubik"/>
                <w:b/>
              </w:rPr>
              <w:t xml:space="preserve">(2017) </w:t>
            </w:r>
          </w:p>
        </w:tc>
        <w:tc>
          <w:tcPr>
            <w:tcW w:w="1726" w:type="dxa"/>
            <w:tcBorders>
              <w:top w:val="single" w:sz="8" w:space="0" w:color="000000"/>
              <w:left w:val="single" w:sz="8" w:space="0" w:color="000000"/>
              <w:bottom w:val="single" w:sz="8" w:space="0" w:color="000000"/>
              <w:right w:val="single" w:sz="8" w:space="0" w:color="000000"/>
            </w:tcBorders>
            <w:shd w:val="clear" w:color="auto" w:fill="D9E2F3"/>
          </w:tcPr>
          <w:p w14:paraId="0DD26CD6" w14:textId="77777777" w:rsidR="00084B12" w:rsidRPr="00663632" w:rsidRDefault="00427DD2">
            <w:pPr>
              <w:jc w:val="center"/>
              <w:rPr>
                <w:rFonts w:ascii="Rubik" w:hAnsi="Rubik" w:cs="Rubik"/>
              </w:rPr>
            </w:pPr>
            <w:r w:rsidRPr="00663632">
              <w:rPr>
                <w:rFonts w:ascii="Rubik" w:eastAsia="Arial" w:hAnsi="Rubik" w:cs="Rubik"/>
                <w:b/>
              </w:rPr>
              <w:t xml:space="preserve">Droplet study (2018) </w:t>
            </w:r>
          </w:p>
        </w:tc>
      </w:tr>
      <w:tr w:rsidR="00084B12" w:rsidRPr="00663632" w14:paraId="2893FCBE" w14:textId="77777777">
        <w:trPr>
          <w:trHeight w:val="1435"/>
        </w:trPr>
        <w:tc>
          <w:tcPr>
            <w:tcW w:w="3107" w:type="dxa"/>
            <w:tcBorders>
              <w:top w:val="single" w:sz="8" w:space="0" w:color="000000"/>
              <w:left w:val="single" w:sz="8" w:space="0" w:color="000000"/>
              <w:bottom w:val="single" w:sz="8" w:space="0" w:color="000000"/>
              <w:right w:val="single" w:sz="8" w:space="0" w:color="000000"/>
            </w:tcBorders>
          </w:tcPr>
          <w:p w14:paraId="676FB42D" w14:textId="77777777" w:rsidR="00084B12" w:rsidRPr="00663632" w:rsidRDefault="00427DD2">
            <w:pPr>
              <w:ind w:right="120"/>
              <w:jc w:val="center"/>
              <w:rPr>
                <w:rFonts w:ascii="Rubik" w:hAnsi="Rubik" w:cs="Rubik"/>
              </w:rPr>
            </w:pPr>
            <w:r w:rsidRPr="00663632">
              <w:rPr>
                <w:rFonts w:ascii="Rubik" w:eastAsia="Arial" w:hAnsi="Rubik" w:cs="Rubik"/>
              </w:rPr>
              <w:t xml:space="preserve">Average weight loss after </w:t>
            </w:r>
          </w:p>
          <w:p w14:paraId="436020D4" w14:textId="77777777" w:rsidR="00084B12" w:rsidRPr="00663632" w:rsidRDefault="00427DD2">
            <w:pPr>
              <w:ind w:right="120"/>
              <w:jc w:val="center"/>
              <w:rPr>
                <w:rFonts w:ascii="Rubik" w:hAnsi="Rubik" w:cs="Rubik"/>
              </w:rPr>
            </w:pPr>
            <w:r w:rsidRPr="00663632">
              <w:rPr>
                <w:rFonts w:ascii="Rubik" w:eastAsia="Arial" w:hAnsi="Rubik" w:cs="Rubik"/>
              </w:rPr>
              <w:t xml:space="preserve">Total Dietary Replacement </w:t>
            </w:r>
          </w:p>
          <w:p w14:paraId="59D82FDE" w14:textId="77777777" w:rsidR="00084B12" w:rsidRPr="00663632" w:rsidRDefault="00427DD2">
            <w:pPr>
              <w:spacing w:after="158"/>
              <w:ind w:right="115"/>
              <w:jc w:val="center"/>
              <w:rPr>
                <w:rFonts w:ascii="Rubik" w:hAnsi="Rubik" w:cs="Rubik"/>
              </w:rPr>
            </w:pPr>
            <w:r w:rsidRPr="00663632">
              <w:rPr>
                <w:rFonts w:ascii="Rubik" w:eastAsia="Arial" w:hAnsi="Rubik" w:cs="Rubik"/>
              </w:rPr>
              <w:t xml:space="preserve">(TDR) </w:t>
            </w:r>
          </w:p>
          <w:p w14:paraId="55B14318" w14:textId="71DF7606" w:rsidR="00084B12" w:rsidRPr="00663632" w:rsidRDefault="00427DD2">
            <w:pPr>
              <w:ind w:right="117"/>
              <w:jc w:val="center"/>
              <w:rPr>
                <w:rFonts w:ascii="Rubik" w:hAnsi="Rubik" w:cs="Rubik"/>
              </w:rPr>
            </w:pPr>
            <w:r w:rsidRPr="00663632">
              <w:rPr>
                <w:rFonts w:ascii="Rubik" w:eastAsia="Arial" w:hAnsi="Rubik" w:cs="Rubik"/>
              </w:rPr>
              <w:t xml:space="preserve">(12 </w:t>
            </w:r>
            <w:r w:rsidR="00EE3F3F" w:rsidRPr="00663632">
              <w:rPr>
                <w:rFonts w:ascii="Rubik" w:eastAsia="Arial" w:hAnsi="Rubik" w:cs="Rubik"/>
              </w:rPr>
              <w:t xml:space="preserve">weeks)  </w:t>
            </w:r>
          </w:p>
        </w:tc>
        <w:tc>
          <w:tcPr>
            <w:tcW w:w="1417" w:type="dxa"/>
            <w:tcBorders>
              <w:top w:val="single" w:sz="8" w:space="0" w:color="000000"/>
              <w:left w:val="single" w:sz="8" w:space="0" w:color="000000"/>
              <w:bottom w:val="single" w:sz="8" w:space="0" w:color="000000"/>
              <w:right w:val="single" w:sz="8" w:space="0" w:color="000000"/>
            </w:tcBorders>
          </w:tcPr>
          <w:p w14:paraId="0C67DBB2" w14:textId="77777777" w:rsidR="00084B12" w:rsidRPr="00663632" w:rsidRDefault="00427DD2">
            <w:pPr>
              <w:ind w:left="11"/>
              <w:jc w:val="center"/>
              <w:rPr>
                <w:rFonts w:ascii="Rubik" w:hAnsi="Rubik" w:cs="Rubik"/>
              </w:rPr>
            </w:pPr>
            <w:r w:rsidRPr="00663632">
              <w:rPr>
                <w:rFonts w:ascii="Rubik" w:eastAsia="Arial" w:hAnsi="Rubik" w:cs="Rubik"/>
              </w:rPr>
              <w:t xml:space="preserve">  </w:t>
            </w:r>
          </w:p>
          <w:p w14:paraId="0763E554" w14:textId="77777777" w:rsidR="00084B12" w:rsidRPr="00663632" w:rsidRDefault="00427DD2">
            <w:pPr>
              <w:ind w:right="107"/>
              <w:jc w:val="center"/>
              <w:rPr>
                <w:rFonts w:ascii="Rubik" w:hAnsi="Rubik" w:cs="Rubik"/>
              </w:rPr>
            </w:pPr>
            <w:r w:rsidRPr="00663632">
              <w:rPr>
                <w:rFonts w:ascii="Rubik" w:eastAsia="Arial" w:hAnsi="Rubik" w:cs="Rubik"/>
              </w:rPr>
              <w:t xml:space="preserve">-14.5kg  </w:t>
            </w:r>
          </w:p>
        </w:tc>
        <w:tc>
          <w:tcPr>
            <w:tcW w:w="1726" w:type="dxa"/>
            <w:tcBorders>
              <w:top w:val="single" w:sz="8" w:space="0" w:color="000000"/>
              <w:left w:val="single" w:sz="8" w:space="0" w:color="000000"/>
              <w:bottom w:val="single" w:sz="8" w:space="0" w:color="000000"/>
              <w:right w:val="single" w:sz="8" w:space="0" w:color="000000"/>
            </w:tcBorders>
          </w:tcPr>
          <w:p w14:paraId="1E617AB2" w14:textId="77777777" w:rsidR="00084B12" w:rsidRPr="00663632" w:rsidRDefault="00427DD2">
            <w:pPr>
              <w:ind w:right="48"/>
              <w:jc w:val="center"/>
              <w:rPr>
                <w:rFonts w:ascii="Rubik" w:hAnsi="Rubik" w:cs="Rubik"/>
              </w:rPr>
            </w:pPr>
            <w:r w:rsidRPr="00663632">
              <w:rPr>
                <w:rFonts w:ascii="Rubik" w:eastAsia="Arial" w:hAnsi="Rubik" w:cs="Rubik"/>
              </w:rPr>
              <w:t xml:space="preserve"> </w:t>
            </w:r>
          </w:p>
          <w:p w14:paraId="1CACB477" w14:textId="77777777" w:rsidR="00084B12" w:rsidRPr="00663632" w:rsidRDefault="00427DD2">
            <w:pPr>
              <w:ind w:right="106"/>
              <w:jc w:val="center"/>
              <w:rPr>
                <w:rFonts w:ascii="Rubik" w:hAnsi="Rubik" w:cs="Rubik"/>
              </w:rPr>
            </w:pPr>
            <w:r w:rsidRPr="00663632">
              <w:rPr>
                <w:rFonts w:ascii="Rubik" w:eastAsia="Arial" w:hAnsi="Rubik" w:cs="Rubik"/>
              </w:rPr>
              <w:t xml:space="preserve">-13.3kg </w:t>
            </w:r>
          </w:p>
        </w:tc>
      </w:tr>
      <w:tr w:rsidR="00084B12" w:rsidRPr="00663632" w14:paraId="6AB900DF" w14:textId="77777777">
        <w:trPr>
          <w:trHeight w:val="1159"/>
        </w:trPr>
        <w:tc>
          <w:tcPr>
            <w:tcW w:w="3107" w:type="dxa"/>
            <w:tcBorders>
              <w:top w:val="single" w:sz="8" w:space="0" w:color="000000"/>
              <w:left w:val="single" w:sz="8" w:space="0" w:color="000000"/>
              <w:bottom w:val="single" w:sz="8" w:space="0" w:color="000000"/>
              <w:right w:val="single" w:sz="8" w:space="0" w:color="000000"/>
            </w:tcBorders>
          </w:tcPr>
          <w:p w14:paraId="5053D1C0" w14:textId="77777777" w:rsidR="00084B12" w:rsidRPr="00663632" w:rsidRDefault="00427DD2">
            <w:pPr>
              <w:spacing w:after="161" w:line="256" w:lineRule="auto"/>
              <w:jc w:val="center"/>
              <w:rPr>
                <w:rFonts w:ascii="Rubik" w:hAnsi="Rubik" w:cs="Rubik"/>
              </w:rPr>
            </w:pPr>
            <w:r w:rsidRPr="00663632">
              <w:rPr>
                <w:rFonts w:ascii="Rubik" w:eastAsia="Arial" w:hAnsi="Rubik" w:cs="Rubik"/>
              </w:rPr>
              <w:t xml:space="preserve">Average weight loss end of programme </w:t>
            </w:r>
          </w:p>
          <w:p w14:paraId="3AA28C97" w14:textId="77777777" w:rsidR="00084B12" w:rsidRPr="00663632" w:rsidRDefault="00427DD2">
            <w:pPr>
              <w:ind w:right="117"/>
              <w:jc w:val="center"/>
              <w:rPr>
                <w:rFonts w:ascii="Rubik" w:hAnsi="Rubik" w:cs="Rubik"/>
              </w:rPr>
            </w:pPr>
            <w:r w:rsidRPr="00663632">
              <w:rPr>
                <w:rFonts w:ascii="Rubik" w:eastAsia="Arial" w:hAnsi="Rubik" w:cs="Rubik"/>
              </w:rPr>
              <w:t xml:space="preserve">(1 year) </w:t>
            </w:r>
          </w:p>
        </w:tc>
        <w:tc>
          <w:tcPr>
            <w:tcW w:w="1417" w:type="dxa"/>
            <w:tcBorders>
              <w:top w:val="single" w:sz="8" w:space="0" w:color="000000"/>
              <w:left w:val="single" w:sz="8" w:space="0" w:color="000000"/>
              <w:bottom w:val="single" w:sz="8" w:space="0" w:color="000000"/>
              <w:right w:val="single" w:sz="8" w:space="0" w:color="000000"/>
            </w:tcBorders>
          </w:tcPr>
          <w:p w14:paraId="08F84E88" w14:textId="77777777" w:rsidR="00084B12" w:rsidRPr="00663632" w:rsidRDefault="00427DD2">
            <w:pPr>
              <w:spacing w:after="158"/>
              <w:ind w:left="11"/>
              <w:jc w:val="center"/>
              <w:rPr>
                <w:rFonts w:ascii="Rubik" w:hAnsi="Rubik" w:cs="Rubik"/>
              </w:rPr>
            </w:pPr>
            <w:r w:rsidRPr="00663632">
              <w:rPr>
                <w:rFonts w:ascii="Rubik" w:eastAsia="Arial" w:hAnsi="Rubik" w:cs="Rubik"/>
              </w:rPr>
              <w:t xml:space="preserve">  </w:t>
            </w:r>
          </w:p>
          <w:p w14:paraId="38E96A6F" w14:textId="77777777" w:rsidR="00084B12" w:rsidRPr="00663632" w:rsidRDefault="00427DD2">
            <w:pPr>
              <w:ind w:right="107"/>
              <w:jc w:val="center"/>
              <w:rPr>
                <w:rFonts w:ascii="Rubik" w:hAnsi="Rubik" w:cs="Rubik"/>
              </w:rPr>
            </w:pPr>
            <w:r w:rsidRPr="00663632">
              <w:rPr>
                <w:rFonts w:ascii="Rubik" w:eastAsia="Arial" w:hAnsi="Rubik" w:cs="Rubik"/>
              </w:rPr>
              <w:t xml:space="preserve">-10.0kg  </w:t>
            </w:r>
          </w:p>
        </w:tc>
        <w:tc>
          <w:tcPr>
            <w:tcW w:w="1726" w:type="dxa"/>
            <w:tcBorders>
              <w:top w:val="single" w:sz="8" w:space="0" w:color="000000"/>
              <w:left w:val="single" w:sz="8" w:space="0" w:color="000000"/>
              <w:bottom w:val="single" w:sz="8" w:space="0" w:color="000000"/>
              <w:right w:val="single" w:sz="8" w:space="0" w:color="000000"/>
            </w:tcBorders>
          </w:tcPr>
          <w:p w14:paraId="6DA4F28C" w14:textId="77777777" w:rsidR="00084B12" w:rsidRPr="00663632" w:rsidRDefault="00427DD2">
            <w:pPr>
              <w:spacing w:after="158"/>
              <w:ind w:right="48"/>
              <w:jc w:val="center"/>
              <w:rPr>
                <w:rFonts w:ascii="Rubik" w:hAnsi="Rubik" w:cs="Rubik"/>
              </w:rPr>
            </w:pPr>
            <w:r w:rsidRPr="00663632">
              <w:rPr>
                <w:rFonts w:ascii="Rubik" w:eastAsia="Arial" w:hAnsi="Rubik" w:cs="Rubik"/>
              </w:rPr>
              <w:t xml:space="preserve"> </w:t>
            </w:r>
          </w:p>
          <w:p w14:paraId="6BF9D6F9" w14:textId="77777777" w:rsidR="00084B12" w:rsidRPr="00663632" w:rsidRDefault="00427DD2">
            <w:pPr>
              <w:ind w:right="106"/>
              <w:jc w:val="center"/>
              <w:rPr>
                <w:rFonts w:ascii="Rubik" w:hAnsi="Rubik" w:cs="Rubik"/>
              </w:rPr>
            </w:pPr>
            <w:r w:rsidRPr="00663632">
              <w:rPr>
                <w:rFonts w:ascii="Rubik" w:eastAsia="Arial" w:hAnsi="Rubik" w:cs="Rubik"/>
              </w:rPr>
              <w:t xml:space="preserve">-10.7kg </w:t>
            </w:r>
          </w:p>
        </w:tc>
      </w:tr>
    </w:tbl>
    <w:p w14:paraId="566352F0" w14:textId="77777777" w:rsidR="00084B12" w:rsidRDefault="00427DD2">
      <w:pPr>
        <w:spacing w:after="158"/>
        <w:ind w:left="65"/>
        <w:jc w:val="center"/>
      </w:pPr>
      <w:r>
        <w:rPr>
          <w:rFonts w:ascii="Arial" w:eastAsia="Arial" w:hAnsi="Arial" w:cs="Arial"/>
        </w:rPr>
        <w:t xml:space="preserve"> </w:t>
      </w:r>
    </w:p>
    <w:p w14:paraId="0FF6517C" w14:textId="6CF3BCBF" w:rsidR="00084B12" w:rsidRPr="00663632" w:rsidRDefault="00427DD2">
      <w:pPr>
        <w:spacing w:after="153" w:line="266" w:lineRule="auto"/>
        <w:ind w:left="10" w:hanging="10"/>
        <w:rPr>
          <w:rFonts w:ascii="Rubik" w:hAnsi="Rubik" w:cs="Rubik"/>
        </w:rPr>
      </w:pPr>
      <w:r w:rsidRPr="00663632">
        <w:rPr>
          <w:rFonts w:ascii="Rubik" w:eastAsia="Arial" w:hAnsi="Rubik" w:cs="Rubik"/>
        </w:rPr>
        <w:t xml:space="preserve">*Some weight gain is expected once food is reintroduced (from week 13).  The Direct study found that there is a close link between achieving diabetes remission and total weight lost, with 64% of those who lost more than 10kg going into remission. </w:t>
      </w:r>
    </w:p>
    <w:p w14:paraId="77A0C9FA" w14:textId="77777777" w:rsidR="00084B12" w:rsidRPr="00663632" w:rsidRDefault="00427DD2">
      <w:pPr>
        <w:spacing w:after="153" w:line="266" w:lineRule="auto"/>
        <w:ind w:left="10" w:hanging="10"/>
        <w:rPr>
          <w:rFonts w:ascii="Rubik" w:hAnsi="Rubik" w:cs="Rubik"/>
        </w:rPr>
      </w:pPr>
      <w:r w:rsidRPr="00663632">
        <w:rPr>
          <w:rFonts w:ascii="Rubik" w:eastAsia="Arial" w:hAnsi="Rubik" w:cs="Rubik"/>
        </w:rPr>
        <w:t xml:space="preserve">Another study, the Droplet study had similar weight loss results, and demonstrated the effectiveness of a low-calorie diet programme in primary care using a trained workforce of non-HCP. </w:t>
      </w:r>
    </w:p>
    <w:p w14:paraId="6E71640B" w14:textId="77777777" w:rsidR="00084B12" w:rsidRPr="00663632" w:rsidRDefault="00427DD2">
      <w:pPr>
        <w:spacing w:after="159"/>
        <w:ind w:left="-5" w:hanging="10"/>
        <w:rPr>
          <w:rFonts w:ascii="Rubik" w:hAnsi="Rubik" w:cs="Rubik"/>
        </w:rPr>
      </w:pPr>
      <w:r w:rsidRPr="00663632">
        <w:rPr>
          <w:rFonts w:ascii="Rubik" w:eastAsia="Arial" w:hAnsi="Rubik" w:cs="Rubik"/>
        </w:rPr>
        <w:t>For more on the Direct trial -</w:t>
      </w:r>
      <w:hyperlink r:id="rId11">
        <w:r w:rsidRPr="00663632">
          <w:rPr>
            <w:rFonts w:ascii="Rubik" w:eastAsia="Arial" w:hAnsi="Rubik" w:cs="Rubik"/>
          </w:rPr>
          <w:t xml:space="preserve"> </w:t>
        </w:r>
      </w:hyperlink>
      <w:hyperlink r:id="rId12">
        <w:r w:rsidRPr="00663632">
          <w:rPr>
            <w:rFonts w:ascii="Rubik" w:eastAsia="Arial" w:hAnsi="Rubik" w:cs="Rubik"/>
            <w:color w:val="0563C1"/>
            <w:u w:val="single" w:color="0563C1"/>
          </w:rPr>
          <w:t>https://www.directclinicaltrial.org.uk/</w:t>
        </w:r>
      </w:hyperlink>
      <w:hyperlink r:id="rId13">
        <w:r w:rsidRPr="00663632">
          <w:rPr>
            <w:rFonts w:ascii="Rubik" w:eastAsia="Arial" w:hAnsi="Rubik" w:cs="Rubik"/>
          </w:rPr>
          <w:t xml:space="preserve"> </w:t>
        </w:r>
      </w:hyperlink>
      <w:r w:rsidRPr="00663632">
        <w:rPr>
          <w:rFonts w:ascii="Rubik" w:eastAsia="Arial" w:hAnsi="Rubik" w:cs="Rubik"/>
        </w:rPr>
        <w:t xml:space="preserve">   </w:t>
      </w:r>
    </w:p>
    <w:p w14:paraId="23F7DE85" w14:textId="52962FDD" w:rsidR="00084B12" w:rsidRPr="00663632" w:rsidRDefault="00427DD2" w:rsidP="007831CD">
      <w:pPr>
        <w:spacing w:after="159"/>
        <w:ind w:left="-5" w:hanging="10"/>
        <w:rPr>
          <w:rFonts w:ascii="Rubik" w:hAnsi="Rubik" w:cs="Rubik"/>
        </w:rPr>
      </w:pPr>
      <w:r w:rsidRPr="00663632">
        <w:rPr>
          <w:rFonts w:ascii="Rubik" w:eastAsia="Arial" w:hAnsi="Rubik" w:cs="Rubik"/>
        </w:rPr>
        <w:t>For more on the Droplet study -</w:t>
      </w:r>
      <w:hyperlink r:id="rId14">
        <w:r w:rsidRPr="00663632">
          <w:rPr>
            <w:rFonts w:ascii="Rubik" w:eastAsia="Arial" w:hAnsi="Rubik" w:cs="Rubik"/>
          </w:rPr>
          <w:t xml:space="preserve"> </w:t>
        </w:r>
      </w:hyperlink>
      <w:hyperlink r:id="rId15">
        <w:r w:rsidRPr="00663632">
          <w:rPr>
            <w:rFonts w:ascii="Rubik" w:eastAsia="Arial" w:hAnsi="Rubik" w:cs="Rubik"/>
            <w:color w:val="0563C1"/>
            <w:u w:val="single" w:color="0563C1"/>
          </w:rPr>
          <w:t>https://www.bmj.com/content/362/bmj.k3760</w:t>
        </w:r>
      </w:hyperlink>
      <w:hyperlink r:id="rId16">
        <w:r w:rsidRPr="00663632">
          <w:rPr>
            <w:rFonts w:ascii="Rubik" w:eastAsia="Arial" w:hAnsi="Rubik" w:cs="Rubik"/>
          </w:rPr>
          <w:t xml:space="preserve"> </w:t>
        </w:r>
      </w:hyperlink>
      <w:r w:rsidRPr="00663632">
        <w:rPr>
          <w:rFonts w:ascii="Rubik" w:eastAsia="Arial" w:hAnsi="Rubik" w:cs="Rubik"/>
        </w:rPr>
        <w:t xml:space="preserve">  </w:t>
      </w:r>
    </w:p>
    <w:p w14:paraId="2D6A574E" w14:textId="1E942852" w:rsidR="00084B12" w:rsidRPr="00663632" w:rsidRDefault="00427DD2" w:rsidP="00077094">
      <w:pPr>
        <w:pStyle w:val="Heading1"/>
        <w:ind w:left="0"/>
        <w:rPr>
          <w:rFonts w:ascii="Rubik" w:hAnsi="Rubik" w:cs="Rubik"/>
        </w:rPr>
      </w:pPr>
      <w:bookmarkStart w:id="2" w:name="_Toc161045180"/>
      <w:r w:rsidRPr="00663632">
        <w:rPr>
          <w:rFonts w:ascii="Rubik" w:hAnsi="Rubik" w:cs="Rubik"/>
        </w:rPr>
        <w:lastRenderedPageBreak/>
        <w:t>Referring</w:t>
      </w:r>
      <w:bookmarkEnd w:id="2"/>
      <w:r w:rsidRPr="00663632">
        <w:rPr>
          <w:rFonts w:ascii="Rubik" w:hAnsi="Rubik" w:cs="Rubik"/>
        </w:rPr>
        <w:t xml:space="preserve"> </w:t>
      </w:r>
    </w:p>
    <w:p w14:paraId="44D08D21" w14:textId="77777777" w:rsidR="006F78F9" w:rsidRPr="006F78F9" w:rsidRDefault="006F78F9" w:rsidP="006F78F9">
      <w:pPr>
        <w:rPr>
          <w:rFonts w:ascii="Rubik" w:hAnsi="Rubik" w:cs="Rubik"/>
          <w:b/>
          <w:bCs/>
        </w:rPr>
      </w:pPr>
      <w:r w:rsidRPr="006F78F9">
        <w:rPr>
          <w:rFonts w:ascii="Rubik" w:hAnsi="Rubik" w:cs="Rubik"/>
          <w:b/>
          <w:bCs/>
        </w:rPr>
        <w:t>Can patients self-refer onto the programme?</w:t>
      </w:r>
    </w:p>
    <w:p w14:paraId="1E3F68F5" w14:textId="0FC2F818" w:rsidR="0013251F" w:rsidRPr="00663632" w:rsidRDefault="006F78F9" w:rsidP="006F78F9">
      <w:pPr>
        <w:rPr>
          <w:rFonts w:ascii="Rubik" w:hAnsi="Rubik" w:cs="Rubik"/>
        </w:rPr>
      </w:pPr>
      <w:r w:rsidRPr="006F78F9">
        <w:rPr>
          <w:rFonts w:ascii="Rubik" w:hAnsi="Rubik" w:cs="Rubik"/>
        </w:rPr>
        <w:t>Patients can’t self-refer to the NHS Type 2 Diabetes Path to Remission Programme.</w:t>
      </w:r>
    </w:p>
    <w:p w14:paraId="63A4294B" w14:textId="425C5E2C" w:rsidR="00084B12" w:rsidRPr="00663632" w:rsidRDefault="00427DD2" w:rsidP="006F78F9">
      <w:pPr>
        <w:rPr>
          <w:rFonts w:ascii="Rubik" w:hAnsi="Rubik" w:cs="Rubik"/>
          <w:b/>
          <w:bCs/>
        </w:rPr>
      </w:pPr>
      <w:r w:rsidRPr="00663632">
        <w:rPr>
          <w:rFonts w:ascii="Rubik" w:hAnsi="Rubik" w:cs="Rubik"/>
          <w:b/>
          <w:bCs/>
        </w:rPr>
        <w:t xml:space="preserve">What </w:t>
      </w:r>
      <w:r w:rsidR="0013251F" w:rsidRPr="00663632">
        <w:rPr>
          <w:rFonts w:ascii="Rubik" w:hAnsi="Rubik" w:cs="Rubik"/>
          <w:b/>
          <w:bCs/>
        </w:rPr>
        <w:t>are</w:t>
      </w:r>
      <w:r w:rsidRPr="00663632">
        <w:rPr>
          <w:rFonts w:ascii="Rubik" w:hAnsi="Rubik" w:cs="Rubik"/>
          <w:b/>
          <w:bCs/>
        </w:rPr>
        <w:t xml:space="preserve"> the inclusion and exclusion criteria? </w:t>
      </w:r>
    </w:p>
    <w:p w14:paraId="57862360" w14:textId="0E7C5D73" w:rsidR="00331A7A" w:rsidRDefault="00102977" w:rsidP="00331A7A">
      <w:pPr>
        <w:spacing w:after="158" w:line="257" w:lineRule="auto"/>
        <w:rPr>
          <w:rFonts w:ascii="Rubik" w:hAnsi="Rubik" w:cs="Rubik"/>
        </w:rPr>
      </w:pPr>
      <w:r w:rsidRPr="00102977">
        <w:rPr>
          <w:rFonts w:ascii="Rubik" w:hAnsi="Rubik" w:cs="Rubik"/>
        </w:rPr>
        <w:t>Download the full criteria</w:t>
      </w:r>
      <w:hyperlink r:id="rId17" w:history="1">
        <w:r w:rsidRPr="00EC03CC">
          <w:rPr>
            <w:rStyle w:val="Hyperlink"/>
            <w:rFonts w:ascii="Rubik" w:hAnsi="Rubik" w:cs="Rubik"/>
          </w:rPr>
          <w:t xml:space="preserve"> here</w:t>
        </w:r>
      </w:hyperlink>
      <w:r w:rsidRPr="00102977">
        <w:rPr>
          <w:rFonts w:ascii="Rubik" w:hAnsi="Rubik" w:cs="Rubik"/>
        </w:rPr>
        <w:t xml:space="preserve"> </w:t>
      </w:r>
    </w:p>
    <w:p w14:paraId="1A22BFCA" w14:textId="754E4A52" w:rsidR="00084B12" w:rsidRPr="00331A7A" w:rsidRDefault="00427DD2" w:rsidP="00331A7A">
      <w:pPr>
        <w:spacing w:after="158" w:line="257" w:lineRule="auto"/>
        <w:rPr>
          <w:rFonts w:ascii="Rubik" w:hAnsi="Rubik" w:cs="Rubik"/>
        </w:rPr>
      </w:pPr>
      <w:r w:rsidRPr="00663632">
        <w:rPr>
          <w:rFonts w:ascii="Rubik" w:hAnsi="Rubik" w:cs="Rubik"/>
          <w:b/>
          <w:bCs/>
        </w:rPr>
        <w:t>How long do patients need to be off medication before commencing the program</w:t>
      </w:r>
      <w:r w:rsidR="139D0BD6" w:rsidRPr="00663632">
        <w:rPr>
          <w:rFonts w:ascii="Rubik" w:hAnsi="Rubik" w:cs="Rubik"/>
          <w:b/>
          <w:bCs/>
        </w:rPr>
        <w:t>me</w:t>
      </w:r>
      <w:r w:rsidRPr="00663632">
        <w:rPr>
          <w:rFonts w:ascii="Rubik" w:hAnsi="Rubik" w:cs="Rubik"/>
          <w:b/>
          <w:bCs/>
        </w:rPr>
        <w:t>?</w:t>
      </w:r>
    </w:p>
    <w:p w14:paraId="6013ADCC" w14:textId="6516FFEE" w:rsidR="00084B12" w:rsidRPr="00663632" w:rsidRDefault="6A6A01E3" w:rsidP="00015C3A">
      <w:pPr>
        <w:spacing w:after="158" w:line="257" w:lineRule="auto"/>
        <w:rPr>
          <w:rFonts w:ascii="Rubik" w:eastAsia="Arial" w:hAnsi="Rubik" w:cs="Rubik"/>
        </w:rPr>
      </w:pPr>
      <w:r w:rsidRPr="00663632">
        <w:rPr>
          <w:rFonts w:ascii="Rubik" w:eastAsia="Arial" w:hAnsi="Rubik" w:cs="Rubik"/>
        </w:rPr>
        <w:t>If medication adjustments are required, p</w:t>
      </w:r>
      <w:r w:rsidR="00427DD2" w:rsidRPr="00663632">
        <w:rPr>
          <w:rFonts w:ascii="Rubik" w:eastAsia="Arial" w:hAnsi="Rubik" w:cs="Rubik"/>
        </w:rPr>
        <w:t>atients only</w:t>
      </w:r>
      <w:r w:rsidR="6C05D244" w:rsidRPr="00663632">
        <w:rPr>
          <w:rFonts w:ascii="Rubik" w:eastAsia="Arial" w:hAnsi="Rubik" w:cs="Rubik"/>
        </w:rPr>
        <w:t xml:space="preserve"> enact these changes</w:t>
      </w:r>
      <w:r w:rsidR="00427DD2" w:rsidRPr="00663632">
        <w:rPr>
          <w:rFonts w:ascii="Rubik" w:eastAsia="Arial" w:hAnsi="Rubik" w:cs="Rubik"/>
        </w:rPr>
        <w:t xml:space="preserve"> on their first day of TDR. They do not </w:t>
      </w:r>
      <w:r w:rsidR="497C4816" w:rsidRPr="00663632">
        <w:rPr>
          <w:rFonts w:ascii="Rubik" w:eastAsia="Arial" w:hAnsi="Rubik" w:cs="Rubik"/>
        </w:rPr>
        <w:t>adjust their</w:t>
      </w:r>
      <w:r w:rsidR="00427DD2" w:rsidRPr="00663632">
        <w:rPr>
          <w:rFonts w:ascii="Rubik" w:eastAsia="Arial" w:hAnsi="Rubik" w:cs="Rubik"/>
        </w:rPr>
        <w:t xml:space="preserve"> medication before commencing the programme.   </w:t>
      </w:r>
    </w:p>
    <w:p w14:paraId="44E713D9" w14:textId="1ABBDBA7" w:rsidR="5F962D4D" w:rsidRPr="00663632" w:rsidRDefault="5F962D4D" w:rsidP="00015C3A">
      <w:pPr>
        <w:spacing w:after="171" w:line="248" w:lineRule="auto"/>
        <w:rPr>
          <w:rFonts w:ascii="Rubik" w:eastAsia="Arial" w:hAnsi="Rubik" w:cs="Rubik"/>
        </w:rPr>
      </w:pPr>
      <w:r w:rsidRPr="00663632">
        <w:rPr>
          <w:rFonts w:ascii="Rubik" w:eastAsia="Arial" w:hAnsi="Rubik" w:cs="Rubik"/>
        </w:rPr>
        <w:t>Please refer to the guidelines for medication adjustments</w:t>
      </w:r>
      <w:r w:rsidR="000D1158">
        <w:rPr>
          <w:rFonts w:ascii="Rubik" w:eastAsia="Arial" w:hAnsi="Rubik" w:cs="Rubik"/>
        </w:rPr>
        <w:t xml:space="preserve"> </w:t>
      </w:r>
      <w:hyperlink r:id="rId18" w:history="1">
        <w:r w:rsidR="000D1158" w:rsidRPr="00A50FAD">
          <w:rPr>
            <w:rStyle w:val="Hyperlink"/>
            <w:rFonts w:ascii="Rubik" w:eastAsia="Arial" w:hAnsi="Rubik" w:cs="Rubik"/>
          </w:rPr>
          <w:t>here</w:t>
        </w:r>
      </w:hyperlink>
      <w:r w:rsidR="000D1158">
        <w:rPr>
          <w:rFonts w:ascii="Rubik" w:eastAsia="Arial" w:hAnsi="Rubik" w:cs="Rubik"/>
        </w:rPr>
        <w:t xml:space="preserve"> </w:t>
      </w:r>
    </w:p>
    <w:p w14:paraId="5699C547" w14:textId="77777777" w:rsidR="00681B47" w:rsidRPr="00681B47" w:rsidRDefault="00427DD2" w:rsidP="00331A7A">
      <w:pPr>
        <w:spacing w:after="158" w:line="257" w:lineRule="auto"/>
        <w:rPr>
          <w:rFonts w:ascii="Rubik" w:hAnsi="Rubik" w:cs="Rubik"/>
        </w:rPr>
      </w:pPr>
      <w:r w:rsidRPr="00663632">
        <w:rPr>
          <w:rFonts w:ascii="Rubik" w:hAnsi="Rubik" w:cs="Rubik"/>
          <w:b/>
          <w:bCs/>
        </w:rPr>
        <w:t xml:space="preserve">Who provides medication reviews and potential subsequent changes?  </w:t>
      </w:r>
    </w:p>
    <w:p w14:paraId="383D832B" w14:textId="297AFE51" w:rsidR="009F5055" w:rsidRDefault="00427DD2" w:rsidP="009F5055">
      <w:pPr>
        <w:spacing w:after="158" w:line="257" w:lineRule="auto"/>
        <w:rPr>
          <w:rFonts w:ascii="Rubik" w:hAnsi="Rubik" w:cs="Rubik"/>
        </w:rPr>
      </w:pPr>
      <w:r w:rsidRPr="00663632">
        <w:rPr>
          <w:rFonts w:ascii="Rubik" w:hAnsi="Rubik" w:cs="Rubik"/>
        </w:rPr>
        <w:t xml:space="preserve">GPs or other nominated clinical pharmacist/ANP/PN in your practice. </w:t>
      </w:r>
    </w:p>
    <w:p w14:paraId="7E030BEF" w14:textId="77777777" w:rsidR="00380CB6" w:rsidRPr="00380CB6" w:rsidRDefault="00380CB6" w:rsidP="009F5055">
      <w:pPr>
        <w:spacing w:after="158" w:line="257" w:lineRule="auto"/>
        <w:rPr>
          <w:rFonts w:ascii="Rubik" w:hAnsi="Rubik" w:cs="Rubik"/>
          <w:sz w:val="2"/>
          <w:szCs w:val="2"/>
        </w:rPr>
      </w:pPr>
    </w:p>
    <w:p w14:paraId="3F6BD010" w14:textId="77777777" w:rsidR="00557A3F" w:rsidRPr="00557A3F" w:rsidRDefault="00427DD2" w:rsidP="00331A7A">
      <w:pPr>
        <w:spacing w:after="144" w:line="248" w:lineRule="auto"/>
        <w:rPr>
          <w:rFonts w:ascii="Rubik" w:hAnsi="Rubik" w:cs="Rubik"/>
        </w:rPr>
      </w:pPr>
      <w:r w:rsidRPr="00663632">
        <w:rPr>
          <w:rFonts w:ascii="Rubik" w:hAnsi="Rubik" w:cs="Rubik"/>
          <w:b/>
          <w:bCs/>
        </w:rPr>
        <w:t xml:space="preserve">What diabetes monitoring is a practice required to do while a patient is on the programme?  </w:t>
      </w:r>
    </w:p>
    <w:p w14:paraId="0B8CC7B2" w14:textId="4673A63B" w:rsidR="009F5055" w:rsidRDefault="00427DD2" w:rsidP="009F5055">
      <w:pPr>
        <w:spacing w:after="144" w:line="248" w:lineRule="auto"/>
        <w:rPr>
          <w:rFonts w:ascii="Rubik" w:eastAsia="Times New Roman" w:hAnsi="Rubik" w:cs="Rubik"/>
          <w:sz w:val="24"/>
          <w:szCs w:val="24"/>
        </w:rPr>
      </w:pPr>
      <w:r w:rsidRPr="00663632">
        <w:rPr>
          <w:rFonts w:ascii="Rubik" w:hAnsi="Rubik" w:cs="Rubik"/>
        </w:rPr>
        <w:t>The practice should arrange a review of the patient at 6 and 12 months after starting the programme with repeat HbA1c and further medication adjustments as necessary.</w:t>
      </w:r>
      <w:r w:rsidRPr="00663632">
        <w:rPr>
          <w:rFonts w:ascii="Rubik" w:eastAsia="Times New Roman" w:hAnsi="Rubik" w:cs="Rubik"/>
          <w:sz w:val="24"/>
          <w:szCs w:val="24"/>
        </w:rPr>
        <w:t xml:space="preserve"> </w:t>
      </w:r>
    </w:p>
    <w:p w14:paraId="1C13B3BE" w14:textId="77777777" w:rsidR="00380CB6" w:rsidRPr="00380CB6" w:rsidRDefault="00380CB6" w:rsidP="009F5055">
      <w:pPr>
        <w:spacing w:after="144" w:line="248" w:lineRule="auto"/>
        <w:rPr>
          <w:rFonts w:ascii="Rubik" w:hAnsi="Rubik" w:cs="Rubik"/>
          <w:sz w:val="2"/>
          <w:szCs w:val="2"/>
        </w:rPr>
      </w:pPr>
    </w:p>
    <w:p w14:paraId="0E649EDC" w14:textId="77777777" w:rsidR="00084B12" w:rsidRPr="00663632" w:rsidRDefault="00427DD2" w:rsidP="00331A7A">
      <w:pPr>
        <w:spacing w:after="158" w:line="257" w:lineRule="auto"/>
        <w:rPr>
          <w:rFonts w:ascii="Rubik" w:hAnsi="Rubik" w:cs="Rubik"/>
        </w:rPr>
      </w:pPr>
      <w:r w:rsidRPr="00663632">
        <w:rPr>
          <w:rFonts w:ascii="Rubik" w:hAnsi="Rubik" w:cs="Rubik"/>
          <w:b/>
          <w:bCs/>
        </w:rPr>
        <w:t>Once an eligible patient has been referred, how long does it take to start the programme?</w:t>
      </w:r>
      <w:r w:rsidRPr="00663632">
        <w:rPr>
          <w:rFonts w:ascii="Rubik" w:hAnsi="Rubik" w:cs="Rubik"/>
        </w:rPr>
        <w:t xml:space="preserve"> </w:t>
      </w:r>
      <w:r w:rsidRPr="00663632">
        <w:rPr>
          <w:rFonts w:ascii="Rubik" w:eastAsia="Times New Roman" w:hAnsi="Rubik" w:cs="Rubik"/>
          <w:sz w:val="24"/>
          <w:szCs w:val="24"/>
        </w:rPr>
        <w:t xml:space="preserve"> </w:t>
      </w:r>
    </w:p>
    <w:p w14:paraId="452F160B" w14:textId="3372C319" w:rsidR="00084B12" w:rsidRPr="00663632" w:rsidRDefault="00427DD2" w:rsidP="00015C3A">
      <w:pPr>
        <w:spacing w:after="170" w:line="248" w:lineRule="auto"/>
        <w:rPr>
          <w:rFonts w:ascii="Rubik" w:hAnsi="Rubik" w:cs="Rubik"/>
        </w:rPr>
      </w:pPr>
      <w:r w:rsidRPr="00663632">
        <w:rPr>
          <w:rFonts w:ascii="Rubik" w:hAnsi="Rubik" w:cs="Rubik"/>
        </w:rPr>
        <w:t>This can vary depending on when a patient would like to start, it is important they chose a time that is most suitable for them i.e.</w:t>
      </w:r>
      <w:r w:rsidR="00E30BEA">
        <w:rPr>
          <w:rFonts w:ascii="Rubik" w:hAnsi="Rubik" w:cs="Rubik"/>
        </w:rPr>
        <w:t xml:space="preserve"> </w:t>
      </w:r>
      <w:r w:rsidRPr="00663632">
        <w:rPr>
          <w:rFonts w:ascii="Rubik" w:hAnsi="Rubik" w:cs="Rubik"/>
        </w:rPr>
        <w:t>avoiding holidays. However below outlines the typical timeframes:</w:t>
      </w:r>
      <w:r w:rsidRPr="00663632">
        <w:rPr>
          <w:rFonts w:ascii="Rubik" w:eastAsia="Times New Roman" w:hAnsi="Rubik" w:cs="Rubik"/>
          <w:sz w:val="24"/>
        </w:rPr>
        <w:t xml:space="preserve"> </w:t>
      </w:r>
    </w:p>
    <w:p w14:paraId="3A6D7FB6" w14:textId="77777777" w:rsidR="00084B12" w:rsidRPr="00663632" w:rsidRDefault="00427DD2">
      <w:pPr>
        <w:numPr>
          <w:ilvl w:val="1"/>
          <w:numId w:val="3"/>
        </w:numPr>
        <w:spacing w:after="16" w:line="248" w:lineRule="auto"/>
        <w:ind w:hanging="360"/>
        <w:rPr>
          <w:rFonts w:ascii="Rubik" w:hAnsi="Rubik" w:cs="Rubik"/>
        </w:rPr>
      </w:pPr>
      <w:r w:rsidRPr="00663632">
        <w:rPr>
          <w:rFonts w:ascii="Rubik" w:hAnsi="Rubik" w:cs="Rubik"/>
        </w:rPr>
        <w:t xml:space="preserve">Initial contact- Provided the referral is fully complete a patient will be contacted within 5 working days of referral.  </w:t>
      </w:r>
    </w:p>
    <w:p w14:paraId="15C9292F" w14:textId="3C3136FE" w:rsidR="00084B12" w:rsidRPr="00663632" w:rsidRDefault="00427DD2">
      <w:pPr>
        <w:numPr>
          <w:ilvl w:val="1"/>
          <w:numId w:val="3"/>
        </w:numPr>
        <w:spacing w:after="16" w:line="248" w:lineRule="auto"/>
        <w:ind w:hanging="360"/>
        <w:rPr>
          <w:rFonts w:ascii="Rubik" w:hAnsi="Rubik" w:cs="Rubik"/>
        </w:rPr>
      </w:pPr>
      <w:r w:rsidRPr="00663632">
        <w:rPr>
          <w:rFonts w:ascii="Rubik" w:hAnsi="Rubik" w:cs="Rubik"/>
        </w:rPr>
        <w:t xml:space="preserve">Initial </w:t>
      </w:r>
      <w:r w:rsidR="0093583F" w:rsidRPr="00663632">
        <w:rPr>
          <w:rFonts w:ascii="Rubik" w:hAnsi="Rubik" w:cs="Rubik"/>
        </w:rPr>
        <w:t>a</w:t>
      </w:r>
      <w:r w:rsidRPr="00663632">
        <w:rPr>
          <w:rFonts w:ascii="Rubik" w:hAnsi="Rubik" w:cs="Rubik"/>
        </w:rPr>
        <w:t xml:space="preserve">ssessment- Will be offered within 30 days of referral receipt. A patient must attend their initial assessment within 90 days of referral.  </w:t>
      </w:r>
    </w:p>
    <w:p w14:paraId="613DAF2A" w14:textId="77777777" w:rsidR="00084B12" w:rsidRPr="00663632" w:rsidRDefault="00427DD2">
      <w:pPr>
        <w:numPr>
          <w:ilvl w:val="1"/>
          <w:numId w:val="3"/>
        </w:numPr>
        <w:spacing w:after="16" w:line="248" w:lineRule="auto"/>
        <w:ind w:hanging="360"/>
        <w:rPr>
          <w:rFonts w:ascii="Rubik" w:hAnsi="Rubik" w:cs="Rubik"/>
        </w:rPr>
      </w:pPr>
      <w:r w:rsidRPr="00663632">
        <w:rPr>
          <w:rFonts w:ascii="Rubik" w:hAnsi="Rubik" w:cs="Rubik"/>
        </w:rPr>
        <w:t xml:space="preserve">Commencement of programme- A patient can begin the programme two weeks after their initial assessment and must start the programme within six months of referral.  </w:t>
      </w:r>
    </w:p>
    <w:p w14:paraId="1675B5DA" w14:textId="77777777" w:rsidR="00084B12" w:rsidRPr="00663632" w:rsidRDefault="00427DD2">
      <w:pPr>
        <w:spacing w:after="155"/>
        <w:rPr>
          <w:rFonts w:ascii="Rubik" w:hAnsi="Rubik" w:cs="Rubik"/>
        </w:rPr>
      </w:pPr>
      <w:r w:rsidRPr="00663632">
        <w:rPr>
          <w:rFonts w:ascii="Rubik" w:hAnsi="Rubik" w:cs="Rubik"/>
        </w:rPr>
        <w:t xml:space="preserve"> </w:t>
      </w:r>
    </w:p>
    <w:p w14:paraId="3CCE2CA2" w14:textId="18EAF587" w:rsidR="00084B12" w:rsidRPr="00663632" w:rsidRDefault="00427DD2" w:rsidP="007D6B4D">
      <w:pPr>
        <w:spacing w:after="158" w:line="257" w:lineRule="auto"/>
        <w:rPr>
          <w:rFonts w:ascii="Rubik" w:hAnsi="Rubik" w:cs="Rubik"/>
        </w:rPr>
      </w:pPr>
      <w:r w:rsidRPr="00663632">
        <w:rPr>
          <w:rFonts w:ascii="Rubik" w:hAnsi="Rubik" w:cs="Rubik"/>
          <w:b/>
          <w:bCs/>
        </w:rPr>
        <w:t xml:space="preserve">Am I able to refer patients waiting for their </w:t>
      </w:r>
      <w:r w:rsidR="00D6253F">
        <w:rPr>
          <w:rFonts w:ascii="Rubik" w:hAnsi="Rubik" w:cs="Rubik"/>
          <w:b/>
          <w:bCs/>
        </w:rPr>
        <w:t>r</w:t>
      </w:r>
      <w:r w:rsidRPr="00663632">
        <w:rPr>
          <w:rFonts w:ascii="Rubik" w:hAnsi="Rubik" w:cs="Rubik"/>
          <w:b/>
          <w:bCs/>
        </w:rPr>
        <w:t xml:space="preserve">etinal </w:t>
      </w:r>
      <w:r w:rsidR="00D6253F">
        <w:rPr>
          <w:rFonts w:ascii="Rubik" w:hAnsi="Rubik" w:cs="Rubik"/>
          <w:b/>
          <w:bCs/>
        </w:rPr>
        <w:t>s</w:t>
      </w:r>
      <w:r w:rsidRPr="00663632">
        <w:rPr>
          <w:rFonts w:ascii="Rubik" w:hAnsi="Rubik" w:cs="Rubik"/>
          <w:b/>
          <w:bCs/>
        </w:rPr>
        <w:t xml:space="preserve">creening appointments? </w:t>
      </w:r>
    </w:p>
    <w:p w14:paraId="4C9324C8" w14:textId="217FA84F" w:rsidR="00084B12" w:rsidRPr="00663632" w:rsidRDefault="00427DD2" w:rsidP="00015C3A">
      <w:pPr>
        <w:spacing w:after="167" w:line="248" w:lineRule="auto"/>
        <w:rPr>
          <w:rFonts w:ascii="Rubik" w:hAnsi="Rubik" w:cs="Rubik"/>
        </w:rPr>
      </w:pPr>
      <w:r w:rsidRPr="00663632">
        <w:rPr>
          <w:rFonts w:ascii="Rubik" w:hAnsi="Rubik" w:cs="Rubik"/>
        </w:rPr>
        <w:t xml:space="preserve">Yes, as long as they have attended their last diabetes review, including a retinal screen, and are willing to continue their annual reviews. If a </w:t>
      </w:r>
      <w:r w:rsidR="008D4757">
        <w:rPr>
          <w:rFonts w:ascii="Rubik" w:hAnsi="Rubik" w:cs="Rubik"/>
        </w:rPr>
        <w:t>s</w:t>
      </w:r>
      <w:r w:rsidRPr="00663632">
        <w:rPr>
          <w:rFonts w:ascii="Rubik" w:hAnsi="Rubik" w:cs="Rubik"/>
        </w:rPr>
        <w:t xml:space="preserve">ervice </w:t>
      </w:r>
      <w:r w:rsidR="008D4757">
        <w:rPr>
          <w:rFonts w:ascii="Rubik" w:hAnsi="Rubik" w:cs="Rubik"/>
        </w:rPr>
        <w:t>u</w:t>
      </w:r>
      <w:r w:rsidRPr="00663632">
        <w:rPr>
          <w:rFonts w:ascii="Rubik" w:hAnsi="Rubik" w:cs="Rubik"/>
        </w:rPr>
        <w:t xml:space="preserve">ser is newly diagnosed, then there is no requirement to wait for a retinal screening to take place before offering referral.  </w:t>
      </w:r>
    </w:p>
    <w:p w14:paraId="43F6F601" w14:textId="77777777" w:rsidR="00084B12" w:rsidRPr="00A852D4" w:rsidRDefault="00427DD2" w:rsidP="007D6B4D">
      <w:pPr>
        <w:spacing w:after="11" w:line="257" w:lineRule="auto"/>
        <w:rPr>
          <w:rFonts w:ascii="Rubik" w:hAnsi="Rubik" w:cs="Rubik"/>
        </w:rPr>
      </w:pPr>
      <w:r w:rsidRPr="00663632">
        <w:rPr>
          <w:rFonts w:ascii="Rubik" w:hAnsi="Rubik" w:cs="Rubik"/>
          <w:b/>
          <w:bCs/>
        </w:rPr>
        <w:t xml:space="preserve">How to make a referral into the programme?  </w:t>
      </w:r>
    </w:p>
    <w:p w14:paraId="2D7F6C64" w14:textId="77777777" w:rsidR="00A852D4" w:rsidRPr="00663632" w:rsidRDefault="00A852D4" w:rsidP="00A852D4">
      <w:pPr>
        <w:spacing w:after="11" w:line="257" w:lineRule="auto"/>
        <w:rPr>
          <w:rFonts w:ascii="Rubik" w:hAnsi="Rubik" w:cs="Rubik"/>
        </w:rPr>
      </w:pPr>
    </w:p>
    <w:p w14:paraId="74486D09" w14:textId="77777777" w:rsidR="00084B12" w:rsidRPr="00663632" w:rsidRDefault="00427DD2">
      <w:pPr>
        <w:numPr>
          <w:ilvl w:val="1"/>
          <w:numId w:val="6"/>
        </w:numPr>
        <w:spacing w:after="16" w:line="248" w:lineRule="auto"/>
        <w:ind w:hanging="360"/>
        <w:rPr>
          <w:rFonts w:ascii="Rubik" w:hAnsi="Rubik" w:cs="Rubik"/>
        </w:rPr>
      </w:pPr>
      <w:r w:rsidRPr="00663632">
        <w:rPr>
          <w:rFonts w:ascii="Rubik" w:hAnsi="Rubik" w:cs="Rubik"/>
        </w:rPr>
        <w:t xml:space="preserve">Run a search on the clinical system to identify eligible patients </w:t>
      </w:r>
    </w:p>
    <w:p w14:paraId="198BE8F5" w14:textId="77777777" w:rsidR="00084B12" w:rsidRPr="00663632" w:rsidRDefault="00427DD2">
      <w:pPr>
        <w:numPr>
          <w:ilvl w:val="1"/>
          <w:numId w:val="6"/>
        </w:numPr>
        <w:spacing w:after="16" w:line="248" w:lineRule="auto"/>
        <w:ind w:hanging="360"/>
        <w:rPr>
          <w:rFonts w:ascii="Rubik" w:hAnsi="Rubik" w:cs="Rubik"/>
        </w:rPr>
      </w:pPr>
      <w:r w:rsidRPr="00663632">
        <w:rPr>
          <w:rFonts w:ascii="Rubik" w:hAnsi="Rubik" w:cs="Rubik"/>
        </w:rPr>
        <w:t xml:space="preserve">Assess patient suitability and commitment  </w:t>
      </w:r>
    </w:p>
    <w:p w14:paraId="2774CE0E" w14:textId="61EE4F7C" w:rsidR="00084B12" w:rsidRPr="00663632" w:rsidRDefault="00427DD2">
      <w:pPr>
        <w:numPr>
          <w:ilvl w:val="1"/>
          <w:numId w:val="6"/>
        </w:numPr>
        <w:spacing w:after="16" w:line="248" w:lineRule="auto"/>
        <w:ind w:hanging="360"/>
        <w:rPr>
          <w:rFonts w:ascii="Rubik" w:hAnsi="Rubik" w:cs="Rubik"/>
        </w:rPr>
      </w:pPr>
      <w:r w:rsidRPr="00663632">
        <w:rPr>
          <w:rFonts w:ascii="Rubik" w:hAnsi="Rubik" w:cs="Rubik"/>
        </w:rPr>
        <w:t>Referral form can be found on the clinical system</w:t>
      </w:r>
      <w:r w:rsidR="00743A50">
        <w:rPr>
          <w:rFonts w:ascii="Rubik" w:hAnsi="Rubik" w:cs="Rubik"/>
        </w:rPr>
        <w:t xml:space="preserve">.  Most </w:t>
      </w:r>
      <w:r w:rsidRPr="00663632">
        <w:rPr>
          <w:rFonts w:ascii="Rubik" w:hAnsi="Rubik" w:cs="Rubik"/>
        </w:rPr>
        <w:t>information should auto-populate</w:t>
      </w:r>
      <w:r w:rsidR="00743A50">
        <w:rPr>
          <w:rFonts w:ascii="Rubik" w:hAnsi="Rubik" w:cs="Rubik"/>
        </w:rPr>
        <w:t>. M</w:t>
      </w:r>
      <w:r w:rsidRPr="00663632">
        <w:rPr>
          <w:rFonts w:ascii="Rubik" w:hAnsi="Rubik" w:cs="Rubik"/>
        </w:rPr>
        <w:t>anually input – date of diagnosis</w:t>
      </w:r>
      <w:r w:rsidR="00743A50">
        <w:rPr>
          <w:rFonts w:ascii="Rubik" w:hAnsi="Rubik" w:cs="Rubik"/>
        </w:rPr>
        <w:t xml:space="preserve"> and </w:t>
      </w:r>
      <w:r w:rsidRPr="00663632">
        <w:rPr>
          <w:rFonts w:ascii="Rubik" w:hAnsi="Rubik" w:cs="Rubik"/>
        </w:rPr>
        <w:t xml:space="preserve">medication changes </w:t>
      </w:r>
      <w:r w:rsidR="0093583F" w:rsidRPr="00663632">
        <w:rPr>
          <w:rFonts w:ascii="Rubik" w:hAnsi="Rubik" w:cs="Rubik"/>
        </w:rPr>
        <w:t>with</w:t>
      </w:r>
      <w:r w:rsidRPr="00663632">
        <w:rPr>
          <w:rFonts w:ascii="Rubik" w:hAnsi="Rubik" w:cs="Rubik"/>
        </w:rPr>
        <w:t xml:space="preserve"> instructions </w:t>
      </w:r>
    </w:p>
    <w:p w14:paraId="5BBBF685" w14:textId="090F52AE" w:rsidR="00602C77" w:rsidRPr="00602C77" w:rsidRDefault="00427DD2" w:rsidP="001B58C6">
      <w:pPr>
        <w:numPr>
          <w:ilvl w:val="1"/>
          <w:numId w:val="6"/>
        </w:numPr>
        <w:spacing w:after="16" w:line="248" w:lineRule="auto"/>
        <w:ind w:hanging="360"/>
        <w:rPr>
          <w:rFonts w:ascii="Rubik" w:hAnsi="Rubik" w:cs="Rubik"/>
        </w:rPr>
      </w:pPr>
      <w:r w:rsidRPr="00663632">
        <w:rPr>
          <w:rFonts w:ascii="Rubik" w:hAnsi="Rubik" w:cs="Rubik"/>
        </w:rPr>
        <w:lastRenderedPageBreak/>
        <w:t>Ensure patient understands the medication changes they are due to make on day 1 of TDR</w:t>
      </w:r>
      <w:r w:rsidRPr="001B58C6">
        <w:rPr>
          <w:rFonts w:ascii="Rubik" w:hAnsi="Rubik" w:cs="Rubik"/>
        </w:rPr>
        <w:t xml:space="preserve"> </w:t>
      </w:r>
      <w:r w:rsidRPr="001B58C6">
        <w:rPr>
          <w:rFonts w:ascii="Rubik" w:hAnsi="Rubik" w:cs="Rubik"/>
        </w:rPr>
        <w:tab/>
      </w:r>
    </w:p>
    <w:p w14:paraId="4711BAC3" w14:textId="0A96F183" w:rsidR="00084B12" w:rsidRPr="00663632" w:rsidRDefault="00427DD2" w:rsidP="001B58C6">
      <w:pPr>
        <w:numPr>
          <w:ilvl w:val="1"/>
          <w:numId w:val="6"/>
        </w:numPr>
        <w:spacing w:after="16" w:line="248" w:lineRule="auto"/>
        <w:ind w:hanging="360"/>
        <w:rPr>
          <w:rFonts w:ascii="Rubik" w:hAnsi="Rubik" w:cs="Rubik"/>
        </w:rPr>
      </w:pPr>
      <w:r w:rsidRPr="00663632">
        <w:rPr>
          <w:rFonts w:ascii="Rubik" w:hAnsi="Rubik" w:cs="Rubik"/>
        </w:rPr>
        <w:t xml:space="preserve">Send the referral (email address can be found on the referral form)  </w:t>
      </w:r>
    </w:p>
    <w:p w14:paraId="0E36B637" w14:textId="77777777" w:rsidR="00084B12" w:rsidRPr="00663632" w:rsidRDefault="00427DD2">
      <w:pPr>
        <w:spacing w:after="223"/>
        <w:rPr>
          <w:rFonts w:ascii="Rubik" w:hAnsi="Rubik" w:cs="Rubik"/>
        </w:rPr>
      </w:pPr>
      <w:r w:rsidRPr="00663632">
        <w:rPr>
          <w:rFonts w:ascii="Rubik" w:eastAsia="Arial" w:hAnsi="Rubik" w:cs="Rubik"/>
        </w:rPr>
        <w:t xml:space="preserve"> </w:t>
      </w:r>
    </w:p>
    <w:p w14:paraId="63F91A9E" w14:textId="77777777" w:rsidR="00084B12" w:rsidRPr="00663632" w:rsidRDefault="00427DD2" w:rsidP="00EE3F3F">
      <w:pPr>
        <w:pStyle w:val="Heading1"/>
        <w:rPr>
          <w:rFonts w:ascii="Rubik" w:hAnsi="Rubik" w:cs="Rubik"/>
        </w:rPr>
      </w:pPr>
      <w:bookmarkStart w:id="3" w:name="_Toc161045181"/>
      <w:r w:rsidRPr="00663632">
        <w:rPr>
          <w:rFonts w:ascii="Rubik" w:hAnsi="Rubik" w:cs="Rubik"/>
        </w:rPr>
        <w:t>Total Diet Replacement (TDR) Products</w:t>
      </w:r>
      <w:bookmarkEnd w:id="3"/>
      <w:r w:rsidRPr="00663632">
        <w:rPr>
          <w:rFonts w:ascii="Rubik" w:hAnsi="Rubik" w:cs="Rubik"/>
        </w:rPr>
        <w:t xml:space="preserve"> </w:t>
      </w:r>
    </w:p>
    <w:p w14:paraId="667F19E7" w14:textId="2CD036AE" w:rsidR="00084B12" w:rsidRDefault="00427DD2" w:rsidP="007D6B4D">
      <w:pPr>
        <w:spacing w:after="11" w:line="257" w:lineRule="auto"/>
        <w:rPr>
          <w:rFonts w:ascii="Rubik" w:hAnsi="Rubik" w:cs="Rubik"/>
          <w:b/>
          <w:bCs/>
        </w:rPr>
      </w:pPr>
      <w:r w:rsidRPr="001B58C6">
        <w:rPr>
          <w:rFonts w:ascii="Rubik" w:hAnsi="Rubik" w:cs="Rubik"/>
          <w:b/>
          <w:bCs/>
        </w:rPr>
        <w:t xml:space="preserve">What </w:t>
      </w:r>
      <w:r w:rsidR="0093583F" w:rsidRPr="001B58C6">
        <w:rPr>
          <w:rFonts w:ascii="Rubik" w:hAnsi="Rubik" w:cs="Rubik"/>
          <w:b/>
          <w:bCs/>
        </w:rPr>
        <w:t>does th</w:t>
      </w:r>
      <w:r w:rsidRPr="001B58C6">
        <w:rPr>
          <w:rFonts w:ascii="Rubik" w:hAnsi="Rubik" w:cs="Rubik"/>
          <w:b/>
          <w:bCs/>
        </w:rPr>
        <w:t>e patient consum</w:t>
      </w:r>
      <w:r w:rsidR="0093583F" w:rsidRPr="001B58C6">
        <w:rPr>
          <w:rFonts w:ascii="Rubik" w:hAnsi="Rubik" w:cs="Rubik"/>
          <w:b/>
          <w:bCs/>
        </w:rPr>
        <w:t>e while</w:t>
      </w:r>
      <w:r w:rsidRPr="001B58C6">
        <w:rPr>
          <w:rFonts w:ascii="Rubik" w:hAnsi="Rubik" w:cs="Rubik"/>
          <w:b/>
          <w:bCs/>
        </w:rPr>
        <w:t xml:space="preserve"> on the programme?   </w:t>
      </w:r>
    </w:p>
    <w:p w14:paraId="1251B34F" w14:textId="77777777" w:rsidR="001B58C6" w:rsidRPr="001B58C6" w:rsidRDefault="001B58C6" w:rsidP="001B58C6">
      <w:pPr>
        <w:spacing w:after="11" w:line="257" w:lineRule="auto"/>
        <w:rPr>
          <w:rFonts w:ascii="Rubik" w:hAnsi="Rubik" w:cs="Rubik"/>
          <w:b/>
          <w:bCs/>
        </w:rPr>
      </w:pPr>
    </w:p>
    <w:p w14:paraId="3511B272" w14:textId="760F8681" w:rsidR="00084B12" w:rsidRPr="00663632" w:rsidRDefault="77E8F9F7" w:rsidP="00015C3A">
      <w:pPr>
        <w:spacing w:after="0" w:line="256" w:lineRule="auto"/>
        <w:rPr>
          <w:rFonts w:ascii="Rubik" w:hAnsi="Rubik" w:cs="Rubik"/>
        </w:rPr>
      </w:pPr>
      <w:r w:rsidRPr="1F04B93B">
        <w:rPr>
          <w:rFonts w:ascii="Rubik" w:hAnsi="Rubik" w:cs="Rubik"/>
        </w:rPr>
        <w:t>During stage 1, the patient will be on a ‘Total Diet Replacement’, in the form of</w:t>
      </w:r>
      <w:r w:rsidR="48352A19" w:rsidRPr="1F04B93B">
        <w:rPr>
          <w:rFonts w:ascii="Rubik" w:hAnsi="Rubik" w:cs="Rubik"/>
        </w:rPr>
        <w:t xml:space="preserve"> </w:t>
      </w:r>
      <w:r w:rsidRPr="1F04B93B">
        <w:rPr>
          <w:rFonts w:ascii="Rubik" w:hAnsi="Rubik" w:cs="Rubik"/>
        </w:rPr>
        <w:t xml:space="preserve">shakes or soups four times a day:  </w:t>
      </w:r>
    </w:p>
    <w:p w14:paraId="02F79F1A" w14:textId="77777777" w:rsidR="00084B12" w:rsidRPr="00663632" w:rsidRDefault="00427DD2">
      <w:pPr>
        <w:spacing w:after="0"/>
        <w:ind w:left="427"/>
        <w:rPr>
          <w:rFonts w:ascii="Rubik" w:hAnsi="Rubik" w:cs="Rubik"/>
        </w:rPr>
      </w:pPr>
      <w:r w:rsidRPr="00663632">
        <w:rPr>
          <w:rFonts w:ascii="Rubik" w:hAnsi="Rubik" w:cs="Rubik"/>
        </w:rPr>
        <w:t xml:space="preserve"> </w:t>
      </w:r>
    </w:p>
    <w:p w14:paraId="709F5A32" w14:textId="77777777" w:rsidR="00084B12" w:rsidRPr="00253516" w:rsidRDefault="00427DD2">
      <w:pPr>
        <w:numPr>
          <w:ilvl w:val="1"/>
          <w:numId w:val="9"/>
        </w:numPr>
        <w:spacing w:after="16" w:line="248" w:lineRule="auto"/>
        <w:ind w:hanging="360"/>
        <w:rPr>
          <w:rFonts w:ascii="Rubik" w:hAnsi="Rubik" w:cs="Rubik"/>
        </w:rPr>
      </w:pPr>
      <w:r w:rsidRPr="00253516">
        <w:rPr>
          <w:rFonts w:ascii="Rubik" w:hAnsi="Rubik" w:cs="Rubik"/>
        </w:rPr>
        <w:t xml:space="preserve">Each TDR product is 200 kcal  </w:t>
      </w:r>
    </w:p>
    <w:p w14:paraId="2C542162" w14:textId="5E10234E" w:rsidR="00084B12" w:rsidRPr="00253516" w:rsidRDefault="00427DD2">
      <w:pPr>
        <w:numPr>
          <w:ilvl w:val="1"/>
          <w:numId w:val="9"/>
        </w:numPr>
        <w:spacing w:after="16" w:line="248" w:lineRule="auto"/>
        <w:ind w:hanging="360"/>
        <w:rPr>
          <w:rFonts w:ascii="Rubik" w:hAnsi="Rubik" w:cs="Rubik"/>
        </w:rPr>
      </w:pPr>
      <w:r w:rsidRPr="00253516">
        <w:rPr>
          <w:rFonts w:ascii="Rubik" w:hAnsi="Rubik" w:cs="Rubik"/>
        </w:rPr>
        <w:t xml:space="preserve">Shakes: </w:t>
      </w:r>
      <w:r w:rsidR="6DFE5C27" w:rsidRPr="00253516">
        <w:rPr>
          <w:rFonts w:ascii="Rubik" w:hAnsi="Rubik" w:cs="Rubik"/>
        </w:rPr>
        <w:t>6</w:t>
      </w:r>
      <w:r w:rsidRPr="00253516">
        <w:rPr>
          <w:rFonts w:ascii="Rubik" w:hAnsi="Rubik" w:cs="Rubik"/>
        </w:rPr>
        <w:t xml:space="preserve"> flavours: </w:t>
      </w:r>
      <w:r w:rsidR="3F010293" w:rsidRPr="00253516">
        <w:rPr>
          <w:rFonts w:ascii="Rubik" w:hAnsi="Rubik" w:cs="Rubik"/>
        </w:rPr>
        <w:t>c</w:t>
      </w:r>
      <w:r w:rsidRPr="00253516">
        <w:rPr>
          <w:rFonts w:ascii="Rubik" w:hAnsi="Rubik" w:cs="Rubik"/>
        </w:rPr>
        <w:t xml:space="preserve">hocolate, </w:t>
      </w:r>
      <w:r w:rsidR="717CFAC5" w:rsidRPr="00253516">
        <w:rPr>
          <w:rFonts w:ascii="Rubik" w:hAnsi="Rubik" w:cs="Rubik"/>
        </w:rPr>
        <w:t>s</w:t>
      </w:r>
      <w:r w:rsidRPr="00253516">
        <w:rPr>
          <w:rFonts w:ascii="Rubik" w:hAnsi="Rubik" w:cs="Rubik"/>
        </w:rPr>
        <w:t xml:space="preserve">trawberry, </w:t>
      </w:r>
      <w:r w:rsidR="2929E551" w:rsidRPr="00253516">
        <w:rPr>
          <w:rFonts w:ascii="Rubik" w:hAnsi="Rubik" w:cs="Rubik"/>
        </w:rPr>
        <w:t>v</w:t>
      </w:r>
      <w:r w:rsidR="2F5CF66C" w:rsidRPr="00253516">
        <w:rPr>
          <w:rFonts w:ascii="Rubik" w:eastAsiaTheme="minorEastAsia" w:hAnsi="Rubik" w:cs="Rubik"/>
          <w:color w:val="000000" w:themeColor="text1"/>
        </w:rPr>
        <w:t>anilla, banana, mango</w:t>
      </w:r>
      <w:r w:rsidR="77A21EAC" w:rsidRPr="00253516">
        <w:rPr>
          <w:rFonts w:ascii="Rubik" w:eastAsiaTheme="minorEastAsia" w:hAnsi="Rubik" w:cs="Rubik"/>
          <w:color w:val="000000" w:themeColor="text1"/>
        </w:rPr>
        <w:t xml:space="preserve"> </w:t>
      </w:r>
      <w:r w:rsidR="2F5CF66C" w:rsidRPr="00253516">
        <w:rPr>
          <w:rFonts w:ascii="Rubik" w:eastAsiaTheme="minorEastAsia" w:hAnsi="Rubik" w:cs="Rubik"/>
          <w:color w:val="000000" w:themeColor="text1"/>
        </w:rPr>
        <w:t>and latte</w:t>
      </w:r>
      <w:r w:rsidRPr="00253516">
        <w:rPr>
          <w:rFonts w:ascii="Rubik" w:hAnsi="Rubik" w:cs="Rubik"/>
        </w:rPr>
        <w:t xml:space="preserve"> </w:t>
      </w:r>
    </w:p>
    <w:p w14:paraId="329188B1" w14:textId="21FED336" w:rsidR="00084B12" w:rsidRPr="00253516" w:rsidRDefault="00427DD2">
      <w:pPr>
        <w:numPr>
          <w:ilvl w:val="1"/>
          <w:numId w:val="9"/>
        </w:numPr>
        <w:spacing w:after="16" w:line="248" w:lineRule="auto"/>
        <w:ind w:hanging="360"/>
        <w:rPr>
          <w:rFonts w:ascii="Rubik" w:hAnsi="Rubik" w:cs="Rubik"/>
        </w:rPr>
      </w:pPr>
      <w:r w:rsidRPr="00253516">
        <w:rPr>
          <w:rFonts w:ascii="Rubik" w:hAnsi="Rubik" w:cs="Rubik"/>
        </w:rPr>
        <w:t xml:space="preserve">Soups: </w:t>
      </w:r>
      <w:r w:rsidR="17FF153C" w:rsidRPr="00253516">
        <w:rPr>
          <w:rFonts w:ascii="Rubik" w:hAnsi="Rubik" w:cs="Rubik"/>
        </w:rPr>
        <w:t>2</w:t>
      </w:r>
      <w:r w:rsidRPr="00253516">
        <w:rPr>
          <w:rFonts w:ascii="Rubik" w:hAnsi="Rubik" w:cs="Rubik"/>
        </w:rPr>
        <w:t xml:space="preserve"> flavours: </w:t>
      </w:r>
      <w:r w:rsidR="160EA40E" w:rsidRPr="00253516">
        <w:rPr>
          <w:rFonts w:ascii="Rubik" w:hAnsi="Rubik" w:cs="Rubik"/>
        </w:rPr>
        <w:t>vegetable and chicken</w:t>
      </w:r>
    </w:p>
    <w:p w14:paraId="36616EC0" w14:textId="23F90C5D" w:rsidR="1F04B93B" w:rsidRPr="00253516" w:rsidRDefault="1F04B93B" w:rsidP="1F04B93B">
      <w:pPr>
        <w:spacing w:after="0"/>
        <w:rPr>
          <w:rFonts w:ascii="Rubik" w:hAnsi="Rubik" w:cs="Rubik"/>
          <w:i/>
          <w:iCs/>
        </w:rPr>
      </w:pPr>
    </w:p>
    <w:p w14:paraId="15B812F1" w14:textId="178E90D0" w:rsidR="00015C3A" w:rsidRPr="00253516" w:rsidRDefault="4F2257CC" w:rsidP="59BB2803">
      <w:pPr>
        <w:spacing w:after="253" w:line="266" w:lineRule="auto"/>
        <w:ind w:left="446" w:hanging="446"/>
        <w:rPr>
          <w:rFonts w:ascii="Rubik" w:eastAsiaTheme="minorEastAsia" w:hAnsi="Rubik" w:cs="Rubik"/>
          <w:i/>
          <w:iCs/>
          <w:color w:val="000000" w:themeColor="text1"/>
        </w:rPr>
      </w:pPr>
      <w:r w:rsidRPr="59BB2803">
        <w:rPr>
          <w:rFonts w:ascii="Rubik" w:hAnsi="Rubik" w:cs="Rubik"/>
          <w:i/>
          <w:iCs/>
        </w:rPr>
        <w:t xml:space="preserve">All products are </w:t>
      </w:r>
      <w:r w:rsidR="5DFBE962" w:rsidRPr="59BB2803">
        <w:rPr>
          <w:rFonts w:ascii="Rubik" w:hAnsi="Rubik" w:cs="Rubik"/>
          <w:i/>
          <w:iCs/>
        </w:rPr>
        <w:t>Halal</w:t>
      </w:r>
      <w:r w:rsidR="5DFBE962" w:rsidRPr="59BB2803">
        <w:rPr>
          <w:rFonts w:ascii="Rubik" w:eastAsiaTheme="minorEastAsia" w:hAnsi="Rubik" w:cs="Rubik"/>
          <w:i/>
          <w:iCs/>
          <w:color w:val="000000" w:themeColor="text1"/>
        </w:rPr>
        <w:t xml:space="preserve"> and gluten free</w:t>
      </w:r>
      <w:r w:rsidR="43A114D8" w:rsidRPr="59BB2803">
        <w:rPr>
          <w:rFonts w:ascii="Rubik" w:eastAsiaTheme="minorEastAsia" w:hAnsi="Rubik" w:cs="Rubik"/>
          <w:i/>
          <w:iCs/>
          <w:color w:val="000000" w:themeColor="text1"/>
        </w:rPr>
        <w:t>.</w:t>
      </w:r>
    </w:p>
    <w:p w14:paraId="1FFA088E" w14:textId="1CA4D1DE" w:rsidR="43A114D8" w:rsidRPr="00253516" w:rsidRDefault="43A114D8" w:rsidP="2A79AE4B">
      <w:pPr>
        <w:spacing w:after="253"/>
        <w:ind w:left="446" w:hanging="446"/>
        <w:rPr>
          <w:rFonts w:ascii="Rubik" w:eastAsiaTheme="minorEastAsia" w:hAnsi="Rubik" w:cs="Rubik"/>
          <w:i/>
          <w:iCs/>
          <w:color w:val="000000" w:themeColor="text1"/>
        </w:rPr>
      </w:pPr>
      <w:r w:rsidRPr="00253516">
        <w:rPr>
          <w:rFonts w:ascii="Rubik" w:eastAsiaTheme="minorEastAsia" w:hAnsi="Rubik" w:cs="Rubik"/>
          <w:i/>
          <w:iCs/>
          <w:color w:val="000000" w:themeColor="text1"/>
        </w:rPr>
        <w:t>Products are vegetarian, excluding the chicken soup.</w:t>
      </w:r>
    </w:p>
    <w:p w14:paraId="3FBB838C" w14:textId="3199CD45" w:rsidR="43A114D8" w:rsidRPr="00253516" w:rsidRDefault="43A114D8" w:rsidP="2A79AE4B">
      <w:pPr>
        <w:spacing w:after="253"/>
        <w:ind w:left="446" w:hanging="446"/>
        <w:rPr>
          <w:rFonts w:ascii="Rubik" w:eastAsiaTheme="minorEastAsia" w:hAnsi="Rubik" w:cs="Rubik"/>
          <w:i/>
          <w:iCs/>
          <w:color w:val="000000" w:themeColor="text1"/>
        </w:rPr>
      </w:pPr>
      <w:r w:rsidRPr="00253516">
        <w:rPr>
          <w:rFonts w:ascii="Rubik" w:eastAsiaTheme="minorEastAsia" w:hAnsi="Rubik" w:cs="Rubik"/>
          <w:i/>
          <w:iCs/>
          <w:color w:val="000000" w:themeColor="text1"/>
        </w:rPr>
        <w:t>Vegan range</w:t>
      </w:r>
      <w:r w:rsidR="00B67125">
        <w:rPr>
          <w:rFonts w:ascii="Rubik" w:eastAsiaTheme="minorEastAsia" w:hAnsi="Rubik" w:cs="Rubik"/>
          <w:i/>
          <w:iCs/>
          <w:color w:val="000000" w:themeColor="text1"/>
        </w:rPr>
        <w:t>s</w:t>
      </w:r>
      <w:r w:rsidRPr="00253516">
        <w:rPr>
          <w:rFonts w:ascii="Rubik" w:eastAsiaTheme="minorEastAsia" w:hAnsi="Rubik" w:cs="Rubik"/>
          <w:i/>
          <w:iCs/>
          <w:color w:val="000000" w:themeColor="text1"/>
        </w:rPr>
        <w:t xml:space="preserve"> </w:t>
      </w:r>
      <w:r w:rsidR="00B67125">
        <w:rPr>
          <w:rFonts w:ascii="Rubik" w:eastAsiaTheme="minorEastAsia" w:hAnsi="Rubik" w:cs="Rubik"/>
          <w:i/>
          <w:iCs/>
          <w:color w:val="000000" w:themeColor="text1"/>
        </w:rPr>
        <w:t xml:space="preserve">are </w:t>
      </w:r>
      <w:r w:rsidRPr="00253516">
        <w:rPr>
          <w:rFonts w:ascii="Rubik" w:eastAsiaTheme="minorEastAsia" w:hAnsi="Rubik" w:cs="Rubik"/>
          <w:i/>
          <w:iCs/>
          <w:color w:val="000000" w:themeColor="text1"/>
        </w:rPr>
        <w:t>available</w:t>
      </w:r>
      <w:r w:rsidR="00B67125">
        <w:rPr>
          <w:rFonts w:ascii="Rubik" w:eastAsiaTheme="minorEastAsia" w:hAnsi="Rubik" w:cs="Rubik"/>
          <w:i/>
          <w:iCs/>
          <w:color w:val="000000" w:themeColor="text1"/>
        </w:rPr>
        <w:t xml:space="preserve"> with an alternative supplier</w:t>
      </w:r>
      <w:r w:rsidRPr="00253516">
        <w:rPr>
          <w:rFonts w:ascii="Rubik" w:eastAsiaTheme="minorEastAsia" w:hAnsi="Rubik" w:cs="Rubik"/>
          <w:i/>
          <w:iCs/>
          <w:color w:val="000000" w:themeColor="text1"/>
        </w:rPr>
        <w:t>.</w:t>
      </w:r>
    </w:p>
    <w:p w14:paraId="2F02425F" w14:textId="33EC925F" w:rsidR="00663632" w:rsidRPr="00253516" w:rsidRDefault="06C7A7F6" w:rsidP="00015C3A">
      <w:pPr>
        <w:spacing w:after="153" w:line="266" w:lineRule="auto"/>
        <w:rPr>
          <w:rFonts w:ascii="Rubik" w:hAnsi="Rubik" w:cs="Rubik"/>
        </w:rPr>
      </w:pPr>
      <w:r w:rsidRPr="00253516">
        <w:rPr>
          <w:rFonts w:ascii="Rubik" w:eastAsia="Arial" w:hAnsi="Rubik" w:cs="Rubik"/>
        </w:rPr>
        <w:t xml:space="preserve">Total diet replacement products are not suitable soya allergies.  </w:t>
      </w:r>
    </w:p>
    <w:p w14:paraId="352285C4" w14:textId="1B548887" w:rsidR="31828311" w:rsidRPr="00663632" w:rsidRDefault="31828311" w:rsidP="007D6B4D">
      <w:pPr>
        <w:spacing w:after="0"/>
        <w:rPr>
          <w:rFonts w:ascii="Rubik" w:hAnsi="Rubik" w:cs="Rubik"/>
          <w:i/>
          <w:iCs/>
        </w:rPr>
      </w:pPr>
    </w:p>
    <w:p w14:paraId="5BB3C505" w14:textId="08C21F4C" w:rsidR="00084B12" w:rsidRPr="00113E77" w:rsidRDefault="00427DD2" w:rsidP="00C0221A">
      <w:pPr>
        <w:spacing w:after="2" w:line="257" w:lineRule="auto"/>
        <w:rPr>
          <w:rFonts w:ascii="Rubik" w:hAnsi="Rubik" w:cs="Rubik"/>
          <w:b/>
          <w:bCs/>
        </w:rPr>
      </w:pPr>
      <w:r w:rsidRPr="00663632">
        <w:rPr>
          <w:rFonts w:ascii="Rubik" w:hAnsi="Rubik" w:cs="Rubik"/>
          <w:b/>
          <w:bCs/>
        </w:rPr>
        <w:t xml:space="preserve">Once TDR is complete, what are the next stages of the programme? </w:t>
      </w:r>
    </w:p>
    <w:p w14:paraId="18C4CC1D" w14:textId="3432A6EF" w:rsidR="267F4AF0" w:rsidRPr="00663632" w:rsidRDefault="267F4AF0" w:rsidP="267F4AF0">
      <w:pPr>
        <w:spacing w:after="2" w:line="257" w:lineRule="auto"/>
        <w:rPr>
          <w:rFonts w:ascii="Rubik" w:hAnsi="Rubik" w:cs="Rubik"/>
          <w:color w:val="000000" w:themeColor="text1"/>
          <w:highlight w:val="yellow"/>
        </w:rPr>
      </w:pPr>
    </w:p>
    <w:p w14:paraId="52C9B789" w14:textId="3B7474D7" w:rsidR="00084B12" w:rsidRPr="00663632" w:rsidRDefault="32E7896A" w:rsidP="00C0221A">
      <w:pPr>
        <w:spacing w:after="16" w:line="248" w:lineRule="auto"/>
        <w:rPr>
          <w:rFonts w:ascii="Rubik" w:hAnsi="Rubik" w:cs="Rubik"/>
          <w:u w:val="single"/>
        </w:rPr>
      </w:pPr>
      <w:r w:rsidRPr="00663632">
        <w:rPr>
          <w:rFonts w:ascii="Rubik" w:hAnsi="Rubik" w:cs="Rubik"/>
          <w:u w:val="single"/>
        </w:rPr>
        <w:t>Stage 2: Food re-introduction phase (weeks</w:t>
      </w:r>
      <w:r w:rsidR="0D757FF7" w:rsidRPr="00663632">
        <w:rPr>
          <w:rFonts w:ascii="Rubik" w:hAnsi="Rubik" w:cs="Rubik"/>
          <w:u w:val="single"/>
        </w:rPr>
        <w:t xml:space="preserve"> 13 - 18</w:t>
      </w:r>
      <w:r w:rsidRPr="00663632">
        <w:rPr>
          <w:rFonts w:ascii="Rubik" w:hAnsi="Rubik" w:cs="Rubik"/>
          <w:u w:val="single"/>
        </w:rPr>
        <w:t>)</w:t>
      </w:r>
    </w:p>
    <w:p w14:paraId="14BA8EF7" w14:textId="33886A74" w:rsidR="00084B12" w:rsidRPr="00663632" w:rsidRDefault="5EDCDD91" w:rsidP="00C0221A">
      <w:pPr>
        <w:spacing w:after="16" w:line="248" w:lineRule="auto"/>
        <w:rPr>
          <w:rFonts w:ascii="Rubik" w:hAnsi="Rubik" w:cs="Rubik"/>
        </w:rPr>
      </w:pPr>
      <w:r w:rsidRPr="00663632">
        <w:rPr>
          <w:rFonts w:ascii="Rubik" w:hAnsi="Rubik" w:cs="Rubik"/>
        </w:rPr>
        <w:t>O</w:t>
      </w:r>
      <w:r w:rsidR="6251FFCD" w:rsidRPr="00663632">
        <w:rPr>
          <w:rFonts w:ascii="Rubik" w:hAnsi="Rubik" w:cs="Rubik"/>
        </w:rPr>
        <w:t xml:space="preserve">ur diabetes practitioners will support participants to </w:t>
      </w:r>
      <w:r w:rsidR="2506415D" w:rsidRPr="00663632">
        <w:rPr>
          <w:rFonts w:ascii="Rubik" w:hAnsi="Rubik" w:cs="Rubik"/>
        </w:rPr>
        <w:t xml:space="preserve">gradually </w:t>
      </w:r>
      <w:r w:rsidR="6251FFCD" w:rsidRPr="00663632">
        <w:rPr>
          <w:rFonts w:ascii="Rubik" w:hAnsi="Rubik" w:cs="Rubik"/>
        </w:rPr>
        <w:t>re-introduce food into their diet in a safe, healthy way. This includes helping with meal planning, understanding nutrition and a healthy balanced diet.</w:t>
      </w:r>
      <w:r w:rsidR="43FECD0D" w:rsidRPr="00663632">
        <w:rPr>
          <w:rFonts w:ascii="Rubik" w:hAnsi="Rubik" w:cs="Rubik"/>
        </w:rPr>
        <w:t xml:space="preserve"> During this stage participants will phase out the TDR products and re-introduce food</w:t>
      </w:r>
      <w:r w:rsidR="03D05148" w:rsidRPr="00663632">
        <w:rPr>
          <w:rFonts w:ascii="Rubik" w:hAnsi="Rubik" w:cs="Rubik"/>
        </w:rPr>
        <w:t>.  They will have a choice of 3 pathways</w:t>
      </w:r>
      <w:r w:rsidR="1D40E755" w:rsidRPr="00663632">
        <w:rPr>
          <w:rFonts w:ascii="Rubik" w:hAnsi="Rubik" w:cs="Rubik"/>
        </w:rPr>
        <w:t>: a</w:t>
      </w:r>
      <w:r w:rsidR="03D05148" w:rsidRPr="00663632">
        <w:rPr>
          <w:rFonts w:ascii="Rubik" w:hAnsi="Rubik" w:cs="Rubik"/>
        </w:rPr>
        <w:t xml:space="preserve"> faster/medium/or slower re-introduction depending on their lifestyle and go</w:t>
      </w:r>
      <w:r w:rsidR="58B99DE1" w:rsidRPr="00663632">
        <w:rPr>
          <w:rFonts w:ascii="Rubik" w:hAnsi="Rubik" w:cs="Rubik"/>
        </w:rPr>
        <w:t>als.</w:t>
      </w:r>
    </w:p>
    <w:p w14:paraId="6BDD0E02" w14:textId="08B81DE7" w:rsidR="00084B12" w:rsidRPr="00663632" w:rsidRDefault="00084B12" w:rsidP="267F4AF0">
      <w:pPr>
        <w:spacing w:after="16" w:line="248" w:lineRule="auto"/>
        <w:ind w:left="345"/>
        <w:rPr>
          <w:rFonts w:ascii="Rubik" w:hAnsi="Rubik" w:cs="Rubik"/>
        </w:rPr>
      </w:pPr>
    </w:p>
    <w:p w14:paraId="78F7FB62" w14:textId="697C49BF" w:rsidR="00084B12" w:rsidRPr="00663632" w:rsidRDefault="00427DD2" w:rsidP="00C0221A">
      <w:pPr>
        <w:spacing w:after="16" w:line="248" w:lineRule="auto"/>
        <w:rPr>
          <w:rFonts w:ascii="Rubik" w:hAnsi="Rubik" w:cs="Rubik"/>
          <w:u w:val="single"/>
        </w:rPr>
      </w:pPr>
      <w:r w:rsidRPr="00663632">
        <w:rPr>
          <w:rFonts w:ascii="Rubik" w:hAnsi="Rubik" w:cs="Rubik"/>
          <w:u w:val="single"/>
        </w:rPr>
        <w:t>Stage 3</w:t>
      </w:r>
      <w:r w:rsidR="340571A0" w:rsidRPr="00663632">
        <w:rPr>
          <w:rFonts w:ascii="Rubik" w:hAnsi="Rubik" w:cs="Rubik"/>
          <w:u w:val="single"/>
        </w:rPr>
        <w:t>:</w:t>
      </w:r>
      <w:r w:rsidRPr="00663632">
        <w:rPr>
          <w:rFonts w:ascii="Rubik" w:hAnsi="Rubik" w:cs="Rubik"/>
          <w:u w:val="single"/>
        </w:rPr>
        <w:t xml:space="preserve"> </w:t>
      </w:r>
      <w:r w:rsidR="370C1306" w:rsidRPr="00663632">
        <w:rPr>
          <w:rFonts w:ascii="Rubik" w:hAnsi="Rubik" w:cs="Rubik"/>
          <w:u w:val="single"/>
        </w:rPr>
        <w:t>Weight m</w:t>
      </w:r>
      <w:r w:rsidRPr="00663632">
        <w:rPr>
          <w:rFonts w:ascii="Rubik" w:hAnsi="Rubik" w:cs="Rubik"/>
          <w:u w:val="single"/>
        </w:rPr>
        <w:t>aintenance</w:t>
      </w:r>
      <w:r w:rsidR="68EE9283" w:rsidRPr="00663632">
        <w:rPr>
          <w:rFonts w:ascii="Rubik" w:hAnsi="Rubik" w:cs="Rubik"/>
          <w:u w:val="single"/>
        </w:rPr>
        <w:t xml:space="preserve"> phase (weeks 19 - 52)</w:t>
      </w:r>
    </w:p>
    <w:p w14:paraId="1A9A3ED1" w14:textId="6E10960A" w:rsidR="00084B12" w:rsidRDefault="4EF53943" w:rsidP="00C0221A">
      <w:pPr>
        <w:spacing w:after="16" w:line="248" w:lineRule="auto"/>
        <w:rPr>
          <w:rFonts w:ascii="Rubik" w:hAnsi="Rubik" w:cs="Rubik"/>
        </w:rPr>
      </w:pPr>
      <w:r w:rsidRPr="00663632">
        <w:rPr>
          <w:rFonts w:ascii="Rubik" w:hAnsi="Rubik" w:cs="Rubik"/>
        </w:rPr>
        <w:t xml:space="preserve">During this stage participants </w:t>
      </w:r>
      <w:r w:rsidR="3D34CDBF" w:rsidRPr="00663632">
        <w:rPr>
          <w:rFonts w:ascii="Rubik" w:hAnsi="Rubik" w:cs="Rubik"/>
        </w:rPr>
        <w:t>eat</w:t>
      </w:r>
      <w:r w:rsidRPr="00663632">
        <w:rPr>
          <w:rFonts w:ascii="Rubik" w:hAnsi="Rubik" w:cs="Rubik"/>
        </w:rPr>
        <w:t xml:space="preserve"> 3 healthy balanced meals and are no longer on any TDR products. </w:t>
      </w:r>
      <w:r w:rsidR="68EE9283" w:rsidRPr="00663632">
        <w:rPr>
          <w:rFonts w:ascii="Rubik" w:hAnsi="Rubik" w:cs="Rubik"/>
        </w:rPr>
        <w:t>Th</w:t>
      </w:r>
      <w:r w:rsidR="51FCC96A" w:rsidRPr="00663632">
        <w:rPr>
          <w:rFonts w:ascii="Rubik" w:hAnsi="Rubik" w:cs="Rubik"/>
        </w:rPr>
        <w:t>is final phase</w:t>
      </w:r>
      <w:r w:rsidR="68EE9283" w:rsidRPr="00663632">
        <w:rPr>
          <w:rFonts w:ascii="Rubik" w:hAnsi="Rubik" w:cs="Rubik"/>
        </w:rPr>
        <w:t xml:space="preserve"> will provide participants with the knowledge and tools they need to continue to achieve their health and wellbeing goals - and hopefully put their type 2 diabetes into remission.</w:t>
      </w:r>
      <w:r w:rsidR="00427DD2" w:rsidRPr="00663632">
        <w:rPr>
          <w:rFonts w:ascii="Rubik" w:hAnsi="Rubik" w:cs="Rubik"/>
        </w:rPr>
        <w:t xml:space="preserve">   </w:t>
      </w:r>
    </w:p>
    <w:p w14:paraId="2A6894EB" w14:textId="36F8A513" w:rsidR="00084B12" w:rsidRPr="00663632" w:rsidRDefault="00084B12" w:rsidP="007D6B4D">
      <w:pPr>
        <w:spacing w:after="155"/>
        <w:rPr>
          <w:rFonts w:ascii="Rubik" w:hAnsi="Rubik" w:cs="Rubik"/>
        </w:rPr>
      </w:pPr>
    </w:p>
    <w:p w14:paraId="0925CFAB" w14:textId="1DB33AA0" w:rsidR="00084B12" w:rsidRPr="00113E77" w:rsidRDefault="00427DD2" w:rsidP="007D6B4D">
      <w:pPr>
        <w:spacing w:after="158" w:line="257" w:lineRule="auto"/>
        <w:rPr>
          <w:rFonts w:ascii="Rubik" w:hAnsi="Rubik" w:cs="Rubik"/>
          <w:b/>
          <w:bCs/>
        </w:rPr>
      </w:pPr>
      <w:r w:rsidRPr="00663632">
        <w:rPr>
          <w:rFonts w:ascii="Rubik" w:hAnsi="Rubik" w:cs="Rubik"/>
          <w:b/>
          <w:bCs/>
        </w:rPr>
        <w:t xml:space="preserve">What fibre supplementation is provided? </w:t>
      </w:r>
    </w:p>
    <w:p w14:paraId="0B5A918A" w14:textId="7674571F" w:rsidR="00084B12" w:rsidRPr="00663632" w:rsidRDefault="00015C3A" w:rsidP="007D6B4D">
      <w:pPr>
        <w:spacing w:after="0"/>
        <w:ind w:right="-20"/>
        <w:rPr>
          <w:rFonts w:ascii="Rubik" w:hAnsi="Rubik" w:cs="Rubik"/>
        </w:rPr>
      </w:pPr>
      <w:r>
        <w:rPr>
          <w:rFonts w:ascii="Rubik" w:hAnsi="Rubik" w:cs="Rubik"/>
        </w:rPr>
        <w:t>Participants</w:t>
      </w:r>
      <w:r w:rsidR="71F8A0AD" w:rsidRPr="00663632">
        <w:rPr>
          <w:rFonts w:ascii="Rubik" w:hAnsi="Rubik" w:cs="Rubik"/>
        </w:rPr>
        <w:t xml:space="preserve"> are sent one of the options below (depending on availability of stock):</w:t>
      </w:r>
    </w:p>
    <w:p w14:paraId="58ADFF6B" w14:textId="664ACB03" w:rsidR="00084B12" w:rsidRPr="00663632" w:rsidRDefault="71F8A0AD" w:rsidP="31828311">
      <w:pPr>
        <w:pStyle w:val="ListParagraph"/>
        <w:numPr>
          <w:ilvl w:val="0"/>
          <w:numId w:val="1"/>
        </w:numPr>
        <w:spacing w:after="0"/>
        <w:ind w:right="-20"/>
        <w:rPr>
          <w:rFonts w:ascii="Rubik" w:hAnsi="Rubik" w:cs="Rubik"/>
          <w:color w:val="000000" w:themeColor="text1"/>
        </w:rPr>
      </w:pPr>
      <w:r w:rsidRPr="00663632">
        <w:rPr>
          <w:rFonts w:ascii="Rubik" w:hAnsi="Rubik" w:cs="Rubik"/>
          <w:color w:val="000000" w:themeColor="text1"/>
        </w:rPr>
        <w:t>Psyllium husk sachets, a total of 9g/day (2 x servings</w:t>
      </w:r>
      <w:r w:rsidRPr="00663632">
        <w:rPr>
          <w:rFonts w:ascii="Rubik" w:hAnsi="Rubik" w:cs="Rubik"/>
          <w:strike/>
          <w:color w:val="000000" w:themeColor="text1"/>
        </w:rPr>
        <w:t xml:space="preserve"> </w:t>
      </w:r>
      <w:r w:rsidRPr="00663632">
        <w:rPr>
          <w:rFonts w:ascii="Rubik" w:hAnsi="Rubik" w:cs="Rubik"/>
          <w:color w:val="000000" w:themeColor="text1"/>
        </w:rPr>
        <w:t xml:space="preserve">mixed in 250 ml water) orange flavoured.  </w:t>
      </w:r>
    </w:p>
    <w:p w14:paraId="600D7003" w14:textId="46D1DC13" w:rsidR="00084B12" w:rsidRPr="00663632" w:rsidRDefault="71F8A0AD" w:rsidP="31828311">
      <w:pPr>
        <w:pStyle w:val="ListParagraph"/>
        <w:numPr>
          <w:ilvl w:val="0"/>
          <w:numId w:val="1"/>
        </w:numPr>
        <w:spacing w:after="0"/>
        <w:ind w:right="-20"/>
        <w:rPr>
          <w:rFonts w:ascii="Rubik" w:hAnsi="Rubik" w:cs="Rubik"/>
          <w:color w:val="000000" w:themeColor="text1"/>
        </w:rPr>
      </w:pPr>
      <w:r w:rsidRPr="00663632">
        <w:rPr>
          <w:rFonts w:ascii="Rubik" w:hAnsi="Rubik" w:cs="Rubik"/>
        </w:rPr>
        <w:t>Bulk Psyllium Husk Powder – Plain to be mixed with TDR products or water. 4-5 scoops a day totalling 6.4-8g of fibre.</w:t>
      </w:r>
    </w:p>
    <w:p w14:paraId="3841D87B" w14:textId="2A13FAA4" w:rsidR="00084B12" w:rsidRPr="00663632" w:rsidRDefault="00084B12">
      <w:pPr>
        <w:spacing w:after="199"/>
        <w:ind w:left="360"/>
        <w:rPr>
          <w:rFonts w:ascii="Rubik" w:hAnsi="Rubik" w:cs="Rubik"/>
        </w:rPr>
      </w:pPr>
    </w:p>
    <w:p w14:paraId="511AA8EB" w14:textId="77777777" w:rsidR="00084B12" w:rsidRDefault="00427DD2" w:rsidP="00EE3F3F">
      <w:pPr>
        <w:pStyle w:val="Heading1"/>
        <w:rPr>
          <w:rFonts w:ascii="Rubik" w:hAnsi="Rubik" w:cs="Rubik"/>
        </w:rPr>
      </w:pPr>
      <w:bookmarkStart w:id="4" w:name="_Toc161045182"/>
      <w:r w:rsidRPr="00663632">
        <w:rPr>
          <w:rFonts w:ascii="Rubik" w:hAnsi="Rubik" w:cs="Rubik"/>
        </w:rPr>
        <w:t>Patient monitoring</w:t>
      </w:r>
      <w:bookmarkEnd w:id="4"/>
      <w:r w:rsidRPr="00663632">
        <w:rPr>
          <w:rFonts w:ascii="Rubik" w:hAnsi="Rubik" w:cs="Rubik"/>
        </w:rPr>
        <w:t xml:space="preserve">  </w:t>
      </w:r>
    </w:p>
    <w:p w14:paraId="3BE961DF" w14:textId="77777777" w:rsidR="00563FD4" w:rsidRPr="00563FD4" w:rsidRDefault="00563FD4" w:rsidP="00563FD4">
      <w:pPr>
        <w:rPr>
          <w:rFonts w:ascii="Rubik" w:hAnsi="Rubik" w:cs="Rubik"/>
          <w:b/>
          <w:bCs/>
        </w:rPr>
      </w:pPr>
      <w:r w:rsidRPr="00563FD4">
        <w:rPr>
          <w:rFonts w:ascii="Rubik" w:hAnsi="Rubik" w:cs="Rubik"/>
          <w:b/>
          <w:bCs/>
        </w:rPr>
        <w:t>Who does the monitoring and who funds the equipment?</w:t>
      </w:r>
    </w:p>
    <w:p w14:paraId="05A5CF10" w14:textId="77777777" w:rsidR="00C57159" w:rsidRDefault="00563FD4" w:rsidP="00C57159">
      <w:pPr>
        <w:rPr>
          <w:rFonts w:ascii="Rubik" w:hAnsi="Rubik" w:cs="Rubik"/>
        </w:rPr>
      </w:pPr>
      <w:r w:rsidRPr="00563FD4">
        <w:rPr>
          <w:rFonts w:ascii="Rubik" w:hAnsi="Rubik" w:cs="Rubik"/>
        </w:rPr>
        <w:lastRenderedPageBreak/>
        <w:t xml:space="preserve">Blood glucose and blood pressure monitoring is provided by </w:t>
      </w:r>
      <w:r w:rsidR="00106499">
        <w:rPr>
          <w:rFonts w:ascii="Rubik" w:hAnsi="Rubik" w:cs="Rubik"/>
        </w:rPr>
        <w:t>Xyla. Any participants opting to do the programme digitally are sen</w:t>
      </w:r>
      <w:r w:rsidR="00612A4A">
        <w:rPr>
          <w:rFonts w:ascii="Rubik" w:hAnsi="Rubik" w:cs="Rubik"/>
        </w:rPr>
        <w:t xml:space="preserve">t all the relevant monitoring equipment. For any participants opting to do the programme face to face, Xyla will collect these measurements in person. </w:t>
      </w:r>
      <w:r w:rsidR="00106499">
        <w:rPr>
          <w:rFonts w:ascii="Rubik" w:hAnsi="Rubik" w:cs="Rubik"/>
        </w:rPr>
        <w:t xml:space="preserve"> </w:t>
      </w:r>
      <w:r w:rsidRPr="00563FD4">
        <w:rPr>
          <w:rFonts w:ascii="Rubik" w:hAnsi="Rubik" w:cs="Rubik"/>
        </w:rPr>
        <w:t xml:space="preserve"> and sent directly to the patient. All the ancillaries required for the year long programme are provided too.</w:t>
      </w:r>
    </w:p>
    <w:p w14:paraId="3A84D583" w14:textId="77777777" w:rsidR="00C57159" w:rsidRPr="00C57159" w:rsidRDefault="00C57159" w:rsidP="00C57159">
      <w:pPr>
        <w:rPr>
          <w:rFonts w:ascii="Rubik" w:hAnsi="Rubik" w:cs="Rubik"/>
          <w:b/>
          <w:bCs/>
        </w:rPr>
      </w:pPr>
      <w:r w:rsidRPr="00C57159">
        <w:rPr>
          <w:rFonts w:ascii="Rubik" w:hAnsi="Rubik" w:cs="Rubik"/>
          <w:b/>
          <w:bCs/>
        </w:rPr>
        <w:t>How often is HbA1c checked?</w:t>
      </w:r>
    </w:p>
    <w:p w14:paraId="07ED9230" w14:textId="4DD7413E" w:rsidR="00C57159" w:rsidRDefault="00C57159" w:rsidP="00C57159">
      <w:pPr>
        <w:rPr>
          <w:rFonts w:ascii="Rubik" w:hAnsi="Rubik" w:cs="Rubik"/>
        </w:rPr>
      </w:pPr>
      <w:r w:rsidRPr="00C57159">
        <w:rPr>
          <w:rFonts w:ascii="Rubik" w:hAnsi="Rubik" w:cs="Rubik"/>
        </w:rPr>
        <w:t xml:space="preserve">HbA1c should be checked </w:t>
      </w:r>
      <w:r>
        <w:rPr>
          <w:rFonts w:ascii="Rubik" w:hAnsi="Rubik" w:cs="Rubik"/>
        </w:rPr>
        <w:t xml:space="preserve">by the GP Practice </w:t>
      </w:r>
      <w:r w:rsidRPr="00C57159">
        <w:rPr>
          <w:rFonts w:ascii="Rubik" w:hAnsi="Rubik" w:cs="Rubik"/>
        </w:rPr>
        <w:t>at month 6 and at month 12. This helps ensure the safety of the participant</w:t>
      </w:r>
      <w:r w:rsidR="00202B26">
        <w:rPr>
          <w:rFonts w:ascii="Rubik" w:hAnsi="Rubik" w:cs="Rubik"/>
        </w:rPr>
        <w:t xml:space="preserve"> and allows </w:t>
      </w:r>
      <w:proofErr w:type="spellStart"/>
      <w:r w:rsidR="00202B26">
        <w:rPr>
          <w:rFonts w:ascii="Rubik" w:hAnsi="Rubik" w:cs="Rubik"/>
        </w:rPr>
        <w:t>particpants</w:t>
      </w:r>
      <w:proofErr w:type="spellEnd"/>
      <w:r w:rsidR="00202B26">
        <w:rPr>
          <w:rFonts w:ascii="Rubik" w:hAnsi="Rubik" w:cs="Rubik"/>
        </w:rPr>
        <w:t xml:space="preserve"> and their healthcare professions to understand if impact of the programme</w:t>
      </w:r>
      <w:r w:rsidR="003D14D0">
        <w:rPr>
          <w:rFonts w:ascii="Rubik" w:hAnsi="Rubik" w:cs="Rubik"/>
        </w:rPr>
        <w:t xml:space="preserve">. </w:t>
      </w:r>
    </w:p>
    <w:p w14:paraId="764675FA" w14:textId="2EC2AD28" w:rsidR="003D14D0" w:rsidRDefault="003D14D0" w:rsidP="003D14D0">
      <w:pPr>
        <w:spacing w:after="16" w:line="248" w:lineRule="auto"/>
        <w:rPr>
          <w:rFonts w:ascii="Rubik" w:hAnsi="Rubik" w:cs="Rubik"/>
          <w:b/>
        </w:rPr>
      </w:pPr>
      <w:r>
        <w:rPr>
          <w:rFonts w:ascii="Rubik" w:hAnsi="Rubik" w:cs="Rubik"/>
          <w:b/>
        </w:rPr>
        <w:t xml:space="preserve">What about side effects and adverse events? </w:t>
      </w:r>
    </w:p>
    <w:p w14:paraId="4755765D" w14:textId="77777777" w:rsidR="003D14D0" w:rsidRDefault="003D14D0" w:rsidP="003D14D0">
      <w:pPr>
        <w:spacing w:after="16" w:line="248" w:lineRule="auto"/>
        <w:rPr>
          <w:rFonts w:ascii="Rubik" w:hAnsi="Rubik" w:cs="Rubik"/>
          <w:b/>
        </w:rPr>
      </w:pPr>
    </w:p>
    <w:p w14:paraId="554E5886" w14:textId="7FDA56F2" w:rsidR="00084B12" w:rsidRDefault="00427DD2" w:rsidP="00C0221A">
      <w:pPr>
        <w:spacing w:after="16" w:line="248" w:lineRule="auto"/>
        <w:rPr>
          <w:rFonts w:ascii="Rubik" w:hAnsi="Rubik" w:cs="Rubik"/>
        </w:rPr>
      </w:pPr>
      <w:r w:rsidRPr="00663632">
        <w:rPr>
          <w:rFonts w:ascii="Rubik" w:hAnsi="Rubik" w:cs="Rubik"/>
          <w:noProof/>
          <w:color w:val="2B579A"/>
          <w:shd w:val="clear" w:color="auto" w:fill="E6E6E6"/>
        </w:rPr>
        <mc:AlternateContent>
          <mc:Choice Requires="wpg">
            <w:drawing>
              <wp:anchor distT="0" distB="0" distL="114300" distR="114300" simplePos="0" relativeHeight="251658240" behindDoc="0" locked="0" layoutInCell="1" allowOverlap="1" wp14:anchorId="152903DD" wp14:editId="6185E4A3">
                <wp:simplePos x="0" y="0"/>
                <wp:positionH relativeFrom="page">
                  <wp:posOffset>457200</wp:posOffset>
                </wp:positionH>
                <wp:positionV relativeFrom="page">
                  <wp:posOffset>1379474</wp:posOffset>
                </wp:positionV>
                <wp:extent cx="9144" cy="272796"/>
                <wp:effectExtent l="0" t="0" r="0" b="0"/>
                <wp:wrapTopAndBottom/>
                <wp:docPr id="8067" name="Group 8067"/>
                <wp:cNvGraphicFramePr/>
                <a:graphic xmlns:a="http://schemas.openxmlformats.org/drawingml/2006/main">
                  <a:graphicData uri="http://schemas.microsoft.com/office/word/2010/wordprocessingGroup">
                    <wpg:wgp>
                      <wpg:cNvGrpSpPr/>
                      <wpg:grpSpPr>
                        <a:xfrm>
                          <a:off x="0" y="0"/>
                          <a:ext cx="9144" cy="272796"/>
                          <a:chOff x="0" y="0"/>
                          <a:chExt cx="9144" cy="272796"/>
                        </a:xfrm>
                      </wpg:grpSpPr>
                      <wps:wsp>
                        <wps:cNvPr id="8347" name="Shape 8347"/>
                        <wps:cNvSpPr/>
                        <wps:spPr>
                          <a:xfrm>
                            <a:off x="0" y="0"/>
                            <a:ext cx="9144" cy="272796"/>
                          </a:xfrm>
                          <a:custGeom>
                            <a:avLst/>
                            <a:gdLst/>
                            <a:ahLst/>
                            <a:cxnLst/>
                            <a:rect l="0" t="0" r="0" b="0"/>
                            <a:pathLst>
                              <a:path w="9144" h="272796">
                                <a:moveTo>
                                  <a:pt x="0" y="0"/>
                                </a:moveTo>
                                <a:lnTo>
                                  <a:pt x="9144" y="0"/>
                                </a:lnTo>
                                <a:lnTo>
                                  <a:pt x="9144" y="272796"/>
                                </a:lnTo>
                                <a:lnTo>
                                  <a:pt x="0" y="2727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69F2C3" id="Group 8067" o:spid="_x0000_s1026" style="position:absolute;margin-left:36pt;margin-top:108.6pt;width:.7pt;height:21.5pt;z-index:251658240;mso-position-horizontal-relative:page;mso-position-vertical-relative:page" coordsize="9144,27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">
                <v:shape id="Shape 8347" o:spid="_x0000_s1027" style="position:absolute;width:9144;height:272796;visibility:visible;mso-wrap-style:square;v-text-anchor:top" coordsize="9144,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" path="m,l9144,r,272796l,272796,,e" fillcolor="black" stroked="f" strokeweight="0">
                  <v:stroke miterlimit="83231f" joinstyle="miter"/>
                  <v:path arrowok="t" textboxrect="0,0,9144,272796"/>
                </v:shape>
                <w10:wrap type="topAndBottom" anchorx="page" anchory="page"/>
              </v:group>
            </w:pict>
          </mc:Fallback>
        </mc:AlternateContent>
      </w:r>
      <w:r w:rsidRPr="00663632">
        <w:rPr>
          <w:rFonts w:ascii="Rubik" w:hAnsi="Rubik" w:cs="Rubik"/>
          <w:b/>
        </w:rPr>
        <w:t>Possible Side Effects:</w:t>
      </w:r>
      <w:r w:rsidRPr="00663632">
        <w:rPr>
          <w:rFonts w:ascii="Rubik" w:hAnsi="Rubik" w:cs="Rubik"/>
        </w:rPr>
        <w:t xml:space="preserve"> Occasionally, TDR programmes can cause side effects which in most cases are temporary and are simply caused by a lower energy intake. Common side effects can be constipation, headaches, fatigue. Our Diabetes Practitioners are trained to support service users to manage these, and fibre supplements are provided to all individuals at the start of TDR to prevent constipation. However, if symptoms persist then our MDT will discuss directly with the individual and potentially the individual’s healthcare team to ensure appropriate action is taken.  </w:t>
      </w:r>
    </w:p>
    <w:p w14:paraId="40426D7E" w14:textId="77777777" w:rsidR="007D3C36" w:rsidRPr="00663632" w:rsidRDefault="007D3C36">
      <w:pPr>
        <w:spacing w:after="16" w:line="248" w:lineRule="auto"/>
        <w:ind w:left="355" w:hanging="10"/>
        <w:rPr>
          <w:rFonts w:ascii="Rubik" w:hAnsi="Rubik" w:cs="Rubik"/>
        </w:rPr>
      </w:pPr>
    </w:p>
    <w:p w14:paraId="39A6FE59" w14:textId="69068A66" w:rsidR="00084B12" w:rsidRDefault="00427DD2" w:rsidP="00C0221A">
      <w:pPr>
        <w:spacing w:after="16" w:line="248" w:lineRule="auto"/>
        <w:rPr>
          <w:rFonts w:ascii="Rubik" w:hAnsi="Rubik" w:cs="Rubik"/>
        </w:rPr>
      </w:pPr>
      <w:r w:rsidRPr="00663632">
        <w:rPr>
          <w:rFonts w:ascii="Rubik" w:hAnsi="Rubik" w:cs="Rubik"/>
          <w:b/>
        </w:rPr>
        <w:t>Monitoring of BP, Weight &amp; BG:</w:t>
      </w:r>
      <w:r w:rsidRPr="00663632">
        <w:rPr>
          <w:rFonts w:ascii="Rubik" w:hAnsi="Rubik" w:cs="Rubik"/>
        </w:rPr>
        <w:t xml:space="preserve"> </w:t>
      </w:r>
      <w:r w:rsidR="00AD3AAA">
        <w:rPr>
          <w:rFonts w:ascii="Rubik" w:hAnsi="Rubik" w:cs="Rubik"/>
        </w:rPr>
        <w:t>Weight</w:t>
      </w:r>
      <w:r w:rsidRPr="00663632">
        <w:rPr>
          <w:rFonts w:ascii="Rubik" w:hAnsi="Rubik" w:cs="Rubik"/>
        </w:rPr>
        <w:t xml:space="preserve">, blood glucose &amp; blood pressure (if </w:t>
      </w:r>
      <w:r w:rsidR="009D1310">
        <w:rPr>
          <w:rFonts w:ascii="Rubik" w:hAnsi="Rubik" w:cs="Rubik"/>
        </w:rPr>
        <w:t>prescribed BP medication)</w:t>
      </w:r>
      <w:r w:rsidRPr="00663632">
        <w:rPr>
          <w:rFonts w:ascii="Rubik" w:hAnsi="Rubik" w:cs="Rubik"/>
        </w:rPr>
        <w:t xml:space="preserve"> measurements </w:t>
      </w:r>
      <w:r w:rsidR="00AD3AAA">
        <w:rPr>
          <w:rFonts w:ascii="Rubik" w:hAnsi="Rubik" w:cs="Rubik"/>
        </w:rPr>
        <w:t>are collected in every</w:t>
      </w:r>
      <w:r w:rsidRPr="00663632">
        <w:rPr>
          <w:rFonts w:ascii="Rubik" w:hAnsi="Rubik" w:cs="Rubik"/>
        </w:rPr>
        <w:t xml:space="preserve"> session. We closely monitor these measurements and any readings outside of the tolerable range are reviewed by our MDT or Medical Director as appropriate.  </w:t>
      </w:r>
    </w:p>
    <w:p w14:paraId="6C7386DA" w14:textId="77777777" w:rsidR="007E6CF9" w:rsidRDefault="007E6CF9">
      <w:pPr>
        <w:spacing w:after="16" w:line="248" w:lineRule="auto"/>
        <w:ind w:left="355" w:hanging="10"/>
        <w:rPr>
          <w:rFonts w:ascii="Rubik" w:hAnsi="Rubik" w:cs="Rubik"/>
        </w:rPr>
      </w:pPr>
    </w:p>
    <w:p w14:paraId="2A280D4A" w14:textId="186CAA95" w:rsidR="007E6CF9" w:rsidRDefault="007E6CF9" w:rsidP="00C0221A">
      <w:pPr>
        <w:spacing w:after="16" w:line="248" w:lineRule="auto"/>
        <w:rPr>
          <w:rFonts w:ascii="Rubik" w:hAnsi="Rubik" w:cs="Rubik"/>
        </w:rPr>
      </w:pPr>
      <w:r>
        <w:rPr>
          <w:rFonts w:ascii="Rubik" w:hAnsi="Rubik" w:cs="Rubik"/>
        </w:rPr>
        <w:t xml:space="preserve">For information on our </w:t>
      </w:r>
      <w:r w:rsidR="00F84AE8">
        <w:rPr>
          <w:rFonts w:ascii="Rubik" w:hAnsi="Rubik" w:cs="Rubik"/>
        </w:rPr>
        <w:t xml:space="preserve">full </w:t>
      </w:r>
      <w:r>
        <w:rPr>
          <w:rFonts w:ascii="Rubik" w:hAnsi="Rubik" w:cs="Rubik"/>
        </w:rPr>
        <w:t xml:space="preserve">adverse events process please click </w:t>
      </w:r>
      <w:hyperlink r:id="rId19" w:history="1">
        <w:r w:rsidRPr="00F84AE8">
          <w:rPr>
            <w:rStyle w:val="Hyperlink"/>
            <w:rFonts w:ascii="Rubik" w:hAnsi="Rubik" w:cs="Rubik"/>
          </w:rPr>
          <w:t>here</w:t>
        </w:r>
      </w:hyperlink>
      <w:r>
        <w:rPr>
          <w:rFonts w:ascii="Rubik" w:hAnsi="Rubik" w:cs="Rubik"/>
        </w:rPr>
        <w:t xml:space="preserve"> </w:t>
      </w:r>
    </w:p>
    <w:p w14:paraId="5C94A640" w14:textId="77777777" w:rsidR="007E6CF9" w:rsidRDefault="007E6CF9">
      <w:pPr>
        <w:spacing w:after="16" w:line="248" w:lineRule="auto"/>
        <w:ind w:left="355" w:hanging="10"/>
        <w:rPr>
          <w:rFonts w:ascii="Rubik" w:hAnsi="Rubik" w:cs="Rubik"/>
        </w:rPr>
      </w:pPr>
    </w:p>
    <w:p w14:paraId="138BE123" w14:textId="77777777" w:rsidR="007E6CF9" w:rsidRDefault="007E6CF9">
      <w:pPr>
        <w:spacing w:after="16" w:line="248" w:lineRule="auto"/>
        <w:ind w:left="355" w:hanging="10"/>
        <w:rPr>
          <w:rFonts w:ascii="Rubik" w:hAnsi="Rubik" w:cs="Rubik"/>
        </w:rPr>
      </w:pPr>
    </w:p>
    <w:p w14:paraId="1A69BA76" w14:textId="77777777" w:rsidR="007E6CF9" w:rsidRDefault="007E6CF9">
      <w:pPr>
        <w:spacing w:after="16" w:line="248" w:lineRule="auto"/>
        <w:ind w:left="355" w:hanging="10"/>
        <w:rPr>
          <w:rFonts w:ascii="Rubik" w:hAnsi="Rubik" w:cs="Rubik"/>
        </w:rPr>
      </w:pPr>
    </w:p>
    <w:p w14:paraId="0D4334C2" w14:textId="77777777" w:rsidR="007E6CF9" w:rsidRDefault="007E6CF9">
      <w:pPr>
        <w:spacing w:after="16" w:line="248" w:lineRule="auto"/>
        <w:ind w:left="355" w:hanging="10"/>
        <w:rPr>
          <w:rFonts w:ascii="Rubik" w:hAnsi="Rubik" w:cs="Rubik"/>
        </w:rPr>
      </w:pPr>
    </w:p>
    <w:p w14:paraId="7CF7951B" w14:textId="77777777" w:rsidR="007E6CF9" w:rsidRDefault="007E6CF9">
      <w:pPr>
        <w:spacing w:after="16" w:line="248" w:lineRule="auto"/>
        <w:ind w:left="355" w:hanging="10"/>
        <w:rPr>
          <w:rFonts w:ascii="Rubik" w:hAnsi="Rubik" w:cs="Rubik"/>
        </w:rPr>
      </w:pPr>
    </w:p>
    <w:p w14:paraId="7CF6DDBD" w14:textId="77777777" w:rsidR="007D3C36" w:rsidRPr="00663632" w:rsidRDefault="007D3C36">
      <w:pPr>
        <w:spacing w:after="16" w:line="248" w:lineRule="auto"/>
        <w:ind w:left="355" w:hanging="10"/>
        <w:rPr>
          <w:rFonts w:ascii="Rubik" w:hAnsi="Rubik" w:cs="Rubik"/>
        </w:rPr>
      </w:pPr>
    </w:p>
    <w:p w14:paraId="2CBA8D25" w14:textId="77777777" w:rsidR="00084B12" w:rsidRPr="00663632" w:rsidRDefault="00427DD2">
      <w:pPr>
        <w:spacing w:after="0"/>
        <w:ind w:left="720"/>
        <w:rPr>
          <w:rFonts w:ascii="Rubik" w:hAnsi="Rubik" w:cs="Rubik"/>
        </w:rPr>
      </w:pPr>
      <w:r w:rsidRPr="00663632">
        <w:rPr>
          <w:rFonts w:ascii="Rubik" w:eastAsia="Arial" w:hAnsi="Rubik" w:cs="Rubik"/>
        </w:rPr>
        <w:t xml:space="preserve"> </w:t>
      </w:r>
    </w:p>
    <w:p w14:paraId="0BC57D77" w14:textId="77777777" w:rsidR="00084B12" w:rsidRPr="00663632" w:rsidRDefault="00427DD2">
      <w:pPr>
        <w:spacing w:after="0"/>
        <w:ind w:left="720"/>
        <w:rPr>
          <w:rFonts w:ascii="Rubik" w:hAnsi="Rubik" w:cs="Rubik"/>
        </w:rPr>
      </w:pPr>
      <w:r w:rsidRPr="00663632">
        <w:rPr>
          <w:rFonts w:ascii="Rubik" w:eastAsia="Arial" w:hAnsi="Rubik" w:cs="Rubik"/>
        </w:rPr>
        <w:t xml:space="preserve"> </w:t>
      </w:r>
    </w:p>
    <w:p w14:paraId="25785A32" w14:textId="22954FF8" w:rsidR="00084B12" w:rsidRPr="00663632" w:rsidRDefault="00084B12">
      <w:pPr>
        <w:spacing w:after="0"/>
        <w:ind w:left="720"/>
        <w:rPr>
          <w:rFonts w:ascii="Rubik" w:hAnsi="Rubik" w:cs="Rubik"/>
        </w:rPr>
      </w:pPr>
    </w:p>
    <w:sectPr w:rsidR="00084B12" w:rsidRPr="00663632">
      <w:pgSz w:w="11906" w:h="16838"/>
      <w:pgMar w:top="1445" w:right="1445" w:bottom="15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Rubik">
    <w:altName w:val="Arial"/>
    <w:charset w:val="00"/>
    <w:family w:val="auto"/>
    <w:pitch w:val="variable"/>
    <w:sig w:usb0="A0000A6F" w:usb1="4000205B" w:usb2="00000000" w:usb3="00000000" w:csb0="000000B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6728"/>
    <w:multiLevelType w:val="hybridMultilevel"/>
    <w:tmpl w:val="5F7ED70C"/>
    <w:lvl w:ilvl="0" w:tplc="749AD0BE">
      <w:start w:val="1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36845D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AA03F0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B9676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7381BF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72015A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0CEED3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EDCF41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8A839D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B92B08"/>
    <w:multiLevelType w:val="hybridMultilevel"/>
    <w:tmpl w:val="FC9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25C8C"/>
    <w:multiLevelType w:val="hybridMultilevel"/>
    <w:tmpl w:val="535A3992"/>
    <w:lvl w:ilvl="0" w:tplc="1EB0AE3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3E47B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42EFB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88334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B8A18C">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E89DC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A26DD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7450C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B2500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3273F1"/>
    <w:multiLevelType w:val="hybridMultilevel"/>
    <w:tmpl w:val="4F2E04B0"/>
    <w:lvl w:ilvl="0" w:tplc="55FADB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B27DDE">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32C72A">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943A9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7A3358">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CA9D6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1E648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DC74C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AC7FA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9E5F00"/>
    <w:multiLevelType w:val="hybridMultilevel"/>
    <w:tmpl w:val="8CDC6468"/>
    <w:lvl w:ilvl="0" w:tplc="43A218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80E266">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5C0708">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38A33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28280">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30DF6E">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24882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DACDEC">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B6ACD2">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0D0053"/>
    <w:multiLevelType w:val="hybridMultilevel"/>
    <w:tmpl w:val="3C668706"/>
    <w:lvl w:ilvl="0" w:tplc="6A780880">
      <w:start w:val="1"/>
      <w:numFmt w:val="bullet"/>
      <w:lvlText w:val="•"/>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01374">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0A4E1E">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B2E42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2CA02">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82E2E0">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EE130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E053C">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44E3C0">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93095A"/>
    <w:multiLevelType w:val="hybridMultilevel"/>
    <w:tmpl w:val="BD54EA80"/>
    <w:lvl w:ilvl="0" w:tplc="233651C0">
      <w:numFmt w:val="bullet"/>
      <w:lvlText w:val="-"/>
      <w:lvlJc w:val="left"/>
      <w:pPr>
        <w:ind w:left="410" w:hanging="360"/>
      </w:pPr>
      <w:rPr>
        <w:rFonts w:ascii="Calibri" w:eastAsia="Calibri" w:hAnsi="Calibri" w:cs="Calibri" w:hint="default"/>
        <w:color w:val="FF0000"/>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4193749B"/>
    <w:multiLevelType w:val="hybridMultilevel"/>
    <w:tmpl w:val="7EAE59CE"/>
    <w:lvl w:ilvl="0" w:tplc="B53672C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A8EC426">
      <w:start w:val="1"/>
      <w:numFmt w:val="bullet"/>
      <w:lvlText w:val="o"/>
      <w:lvlJc w:val="left"/>
      <w:pPr>
        <w:ind w:left="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5ADC9A">
      <w:start w:val="1"/>
      <w:numFmt w:val="bullet"/>
      <w:lvlText w:val="▪"/>
      <w:lvlJc w:val="left"/>
      <w:pPr>
        <w:ind w:left="1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6F01070">
      <w:start w:val="1"/>
      <w:numFmt w:val="bullet"/>
      <w:lvlRestart w:val="0"/>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BC23FE2">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644EE88">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714442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6D681E4">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8DE6EB2">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A5E440F"/>
    <w:multiLevelType w:val="hybridMultilevel"/>
    <w:tmpl w:val="8390C59E"/>
    <w:lvl w:ilvl="0" w:tplc="B706E406">
      <w:start w:val="2"/>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603D2C">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2A5DEC">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405CB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EA9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00A9E2">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2E5D8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2A59D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80415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2F3388"/>
    <w:multiLevelType w:val="hybridMultilevel"/>
    <w:tmpl w:val="64F6CF62"/>
    <w:lvl w:ilvl="0" w:tplc="FFFFFFFF">
      <w:start w:val="1"/>
      <w:numFmt w:val="bullet"/>
      <w:lvlText w:val="•"/>
      <w:lvlJc w:val="left"/>
      <w:pPr>
        <w:ind w:left="705"/>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607C0D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A8AC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0296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6C60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6CE9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6001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C5A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886F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775E9C"/>
    <w:multiLevelType w:val="hybridMultilevel"/>
    <w:tmpl w:val="FBD01EA8"/>
    <w:lvl w:ilvl="0" w:tplc="98D0D1B4">
      <w:start w:val="1"/>
      <w:numFmt w:val="bullet"/>
      <w:lvlText w:val="-"/>
      <w:lvlJc w:val="left"/>
      <w:pPr>
        <w:ind w:left="720" w:hanging="360"/>
      </w:pPr>
      <w:rPr>
        <w:rFonts w:ascii="Calibri" w:hAnsi="Calibri" w:hint="default"/>
      </w:rPr>
    </w:lvl>
    <w:lvl w:ilvl="1" w:tplc="6386944A">
      <w:start w:val="1"/>
      <w:numFmt w:val="bullet"/>
      <w:lvlText w:val="o"/>
      <w:lvlJc w:val="left"/>
      <w:pPr>
        <w:ind w:left="1440" w:hanging="360"/>
      </w:pPr>
      <w:rPr>
        <w:rFonts w:ascii="Courier New" w:hAnsi="Courier New" w:hint="default"/>
      </w:rPr>
    </w:lvl>
    <w:lvl w:ilvl="2" w:tplc="4B16E32C">
      <w:start w:val="1"/>
      <w:numFmt w:val="bullet"/>
      <w:lvlText w:val=""/>
      <w:lvlJc w:val="left"/>
      <w:pPr>
        <w:ind w:left="2160" w:hanging="360"/>
      </w:pPr>
      <w:rPr>
        <w:rFonts w:ascii="Wingdings" w:hAnsi="Wingdings" w:hint="default"/>
      </w:rPr>
    </w:lvl>
    <w:lvl w:ilvl="3" w:tplc="9AEE2070">
      <w:start w:val="1"/>
      <w:numFmt w:val="bullet"/>
      <w:lvlText w:val=""/>
      <w:lvlJc w:val="left"/>
      <w:pPr>
        <w:ind w:left="2880" w:hanging="360"/>
      </w:pPr>
      <w:rPr>
        <w:rFonts w:ascii="Symbol" w:hAnsi="Symbol" w:hint="default"/>
      </w:rPr>
    </w:lvl>
    <w:lvl w:ilvl="4" w:tplc="E1E474C6">
      <w:start w:val="1"/>
      <w:numFmt w:val="bullet"/>
      <w:lvlText w:val="o"/>
      <w:lvlJc w:val="left"/>
      <w:pPr>
        <w:ind w:left="3600" w:hanging="360"/>
      </w:pPr>
      <w:rPr>
        <w:rFonts w:ascii="Courier New" w:hAnsi="Courier New" w:hint="default"/>
      </w:rPr>
    </w:lvl>
    <w:lvl w:ilvl="5" w:tplc="295AF05E">
      <w:start w:val="1"/>
      <w:numFmt w:val="bullet"/>
      <w:lvlText w:val=""/>
      <w:lvlJc w:val="left"/>
      <w:pPr>
        <w:ind w:left="4320" w:hanging="360"/>
      </w:pPr>
      <w:rPr>
        <w:rFonts w:ascii="Wingdings" w:hAnsi="Wingdings" w:hint="default"/>
      </w:rPr>
    </w:lvl>
    <w:lvl w:ilvl="6" w:tplc="E74E2F14">
      <w:start w:val="1"/>
      <w:numFmt w:val="bullet"/>
      <w:lvlText w:val=""/>
      <w:lvlJc w:val="left"/>
      <w:pPr>
        <w:ind w:left="5040" w:hanging="360"/>
      </w:pPr>
      <w:rPr>
        <w:rFonts w:ascii="Symbol" w:hAnsi="Symbol" w:hint="default"/>
      </w:rPr>
    </w:lvl>
    <w:lvl w:ilvl="7" w:tplc="90B055C2">
      <w:start w:val="1"/>
      <w:numFmt w:val="bullet"/>
      <w:lvlText w:val="o"/>
      <w:lvlJc w:val="left"/>
      <w:pPr>
        <w:ind w:left="5760" w:hanging="360"/>
      </w:pPr>
      <w:rPr>
        <w:rFonts w:ascii="Courier New" w:hAnsi="Courier New" w:hint="default"/>
      </w:rPr>
    </w:lvl>
    <w:lvl w:ilvl="8" w:tplc="8E26CA08">
      <w:start w:val="1"/>
      <w:numFmt w:val="bullet"/>
      <w:lvlText w:val=""/>
      <w:lvlJc w:val="left"/>
      <w:pPr>
        <w:ind w:left="6480" w:hanging="360"/>
      </w:pPr>
      <w:rPr>
        <w:rFonts w:ascii="Wingdings" w:hAnsi="Wingdings" w:hint="default"/>
      </w:rPr>
    </w:lvl>
  </w:abstractNum>
  <w:abstractNum w:abstractNumId="11" w15:restartNumberingAfterBreak="0">
    <w:nsid w:val="59EC0A3F"/>
    <w:multiLevelType w:val="hybridMultilevel"/>
    <w:tmpl w:val="8008501C"/>
    <w:lvl w:ilvl="0" w:tplc="9F90DB90">
      <w:start w:val="14"/>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BC6E7D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0C1D6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28DBE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BC8C7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FA0A2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6EC63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F406D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44563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F876C3D"/>
    <w:multiLevelType w:val="hybridMultilevel"/>
    <w:tmpl w:val="38AC8726"/>
    <w:lvl w:ilvl="0" w:tplc="1BFACC42">
      <w:start w:val="1"/>
      <w:numFmt w:val="bullet"/>
      <w:lvlText w:val="•"/>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0FFD8">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4ED9FA">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70B2A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A4FA48">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64EE">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AC8F0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CD548">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44AC3E">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576349"/>
    <w:multiLevelType w:val="hybridMultilevel"/>
    <w:tmpl w:val="6BF4F644"/>
    <w:lvl w:ilvl="0" w:tplc="21180B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5CD99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5C4E0A">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AEC0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8E5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A64922">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CA05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5CB164">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9A9798">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81947201">
    <w:abstractNumId w:val="10"/>
  </w:num>
  <w:num w:numId="2" w16cid:durableId="1703289054">
    <w:abstractNumId w:val="9"/>
  </w:num>
  <w:num w:numId="3" w16cid:durableId="675231325">
    <w:abstractNumId w:val="8"/>
  </w:num>
  <w:num w:numId="4" w16cid:durableId="1933005483">
    <w:abstractNumId w:val="7"/>
  </w:num>
  <w:num w:numId="5" w16cid:durableId="1793160572">
    <w:abstractNumId w:val="3"/>
  </w:num>
  <w:num w:numId="6" w16cid:durableId="542446002">
    <w:abstractNumId w:val="2"/>
  </w:num>
  <w:num w:numId="7" w16cid:durableId="1548489483">
    <w:abstractNumId w:val="13"/>
  </w:num>
  <w:num w:numId="8" w16cid:durableId="405686515">
    <w:abstractNumId w:val="4"/>
  </w:num>
  <w:num w:numId="9" w16cid:durableId="647587675">
    <w:abstractNumId w:val="11"/>
  </w:num>
  <w:num w:numId="10" w16cid:durableId="1513645544">
    <w:abstractNumId w:val="0"/>
  </w:num>
  <w:num w:numId="11" w16cid:durableId="1684739725">
    <w:abstractNumId w:val="5"/>
  </w:num>
  <w:num w:numId="12" w16cid:durableId="631179919">
    <w:abstractNumId w:val="12"/>
  </w:num>
  <w:num w:numId="13" w16cid:durableId="1123108845">
    <w:abstractNumId w:val="6"/>
  </w:num>
  <w:num w:numId="14" w16cid:durableId="180619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12"/>
    <w:rsid w:val="00015C3A"/>
    <w:rsid w:val="00036174"/>
    <w:rsid w:val="0005320F"/>
    <w:rsid w:val="00077094"/>
    <w:rsid w:val="00084B12"/>
    <w:rsid w:val="000C5580"/>
    <w:rsid w:val="000D1158"/>
    <w:rsid w:val="00102977"/>
    <w:rsid w:val="00106499"/>
    <w:rsid w:val="00113E77"/>
    <w:rsid w:val="0013251F"/>
    <w:rsid w:val="00155BAD"/>
    <w:rsid w:val="00187603"/>
    <w:rsid w:val="001B58C6"/>
    <w:rsid w:val="00202B26"/>
    <w:rsid w:val="00223F57"/>
    <w:rsid w:val="00247A69"/>
    <w:rsid w:val="00253516"/>
    <w:rsid w:val="002775D0"/>
    <w:rsid w:val="002C24C7"/>
    <w:rsid w:val="002E291C"/>
    <w:rsid w:val="002E6184"/>
    <w:rsid w:val="002F6B18"/>
    <w:rsid w:val="00331A7A"/>
    <w:rsid w:val="003759EE"/>
    <w:rsid w:val="00380CB6"/>
    <w:rsid w:val="00381A82"/>
    <w:rsid w:val="003D0865"/>
    <w:rsid w:val="003D14D0"/>
    <w:rsid w:val="00405643"/>
    <w:rsid w:val="00423078"/>
    <w:rsid w:val="00427DD2"/>
    <w:rsid w:val="0046052F"/>
    <w:rsid w:val="00460EEC"/>
    <w:rsid w:val="004669D3"/>
    <w:rsid w:val="0046761D"/>
    <w:rsid w:val="00483808"/>
    <w:rsid w:val="004C7C3F"/>
    <w:rsid w:val="005105FD"/>
    <w:rsid w:val="00557A3F"/>
    <w:rsid w:val="00563FD4"/>
    <w:rsid w:val="005A45E3"/>
    <w:rsid w:val="005F44F5"/>
    <w:rsid w:val="00602C77"/>
    <w:rsid w:val="00612A4A"/>
    <w:rsid w:val="00663632"/>
    <w:rsid w:val="00673739"/>
    <w:rsid w:val="00674B89"/>
    <w:rsid w:val="00681B47"/>
    <w:rsid w:val="006C5ABE"/>
    <w:rsid w:val="006D6222"/>
    <w:rsid w:val="006F0DC5"/>
    <w:rsid w:val="006F78F9"/>
    <w:rsid w:val="00743A50"/>
    <w:rsid w:val="007440BC"/>
    <w:rsid w:val="007533E6"/>
    <w:rsid w:val="007831CD"/>
    <w:rsid w:val="0079462B"/>
    <w:rsid w:val="007C6EC1"/>
    <w:rsid w:val="007D3C36"/>
    <w:rsid w:val="007D6B4D"/>
    <w:rsid w:val="007E06F1"/>
    <w:rsid w:val="007E6CF9"/>
    <w:rsid w:val="00854778"/>
    <w:rsid w:val="00883F59"/>
    <w:rsid w:val="008D4757"/>
    <w:rsid w:val="009311C1"/>
    <w:rsid w:val="0093583F"/>
    <w:rsid w:val="009D1310"/>
    <w:rsid w:val="009F5055"/>
    <w:rsid w:val="00A50FAD"/>
    <w:rsid w:val="00A52ED8"/>
    <w:rsid w:val="00A66B69"/>
    <w:rsid w:val="00A852D4"/>
    <w:rsid w:val="00AD3AAA"/>
    <w:rsid w:val="00B67125"/>
    <w:rsid w:val="00B9346B"/>
    <w:rsid w:val="00C0221A"/>
    <w:rsid w:val="00C31D73"/>
    <w:rsid w:val="00C57159"/>
    <w:rsid w:val="00C91389"/>
    <w:rsid w:val="00CE134D"/>
    <w:rsid w:val="00D32056"/>
    <w:rsid w:val="00D6253F"/>
    <w:rsid w:val="00D85887"/>
    <w:rsid w:val="00E2218B"/>
    <w:rsid w:val="00E30BEA"/>
    <w:rsid w:val="00EC03CC"/>
    <w:rsid w:val="00EE3F3F"/>
    <w:rsid w:val="00F84AE8"/>
    <w:rsid w:val="023B5CA1"/>
    <w:rsid w:val="02942932"/>
    <w:rsid w:val="03D05148"/>
    <w:rsid w:val="04203F31"/>
    <w:rsid w:val="04DC91EB"/>
    <w:rsid w:val="0694BD12"/>
    <w:rsid w:val="06C7A7F6"/>
    <w:rsid w:val="09036AB6"/>
    <w:rsid w:val="092F3F95"/>
    <w:rsid w:val="0A43DF4D"/>
    <w:rsid w:val="0AF43C56"/>
    <w:rsid w:val="0B5828A2"/>
    <w:rsid w:val="0C3B0B78"/>
    <w:rsid w:val="0CF90BEB"/>
    <w:rsid w:val="0D757FF7"/>
    <w:rsid w:val="0D7B800F"/>
    <w:rsid w:val="0DD6DBD9"/>
    <w:rsid w:val="0F175070"/>
    <w:rsid w:val="110E7C9B"/>
    <w:rsid w:val="11E81318"/>
    <w:rsid w:val="139D0BD6"/>
    <w:rsid w:val="144E0AE3"/>
    <w:rsid w:val="1474F4A3"/>
    <w:rsid w:val="160EA40E"/>
    <w:rsid w:val="1637C813"/>
    <w:rsid w:val="178BB9D0"/>
    <w:rsid w:val="17FF153C"/>
    <w:rsid w:val="19217C06"/>
    <w:rsid w:val="1A5758E5"/>
    <w:rsid w:val="1ABD4C67"/>
    <w:rsid w:val="1B918E09"/>
    <w:rsid w:val="1BE4C795"/>
    <w:rsid w:val="1C591CC8"/>
    <w:rsid w:val="1D40E755"/>
    <w:rsid w:val="1D55CB03"/>
    <w:rsid w:val="1D6E8DBE"/>
    <w:rsid w:val="1F04B93B"/>
    <w:rsid w:val="1F90BD8A"/>
    <w:rsid w:val="20F1481C"/>
    <w:rsid w:val="2251179E"/>
    <w:rsid w:val="2284FDBC"/>
    <w:rsid w:val="230F4D8E"/>
    <w:rsid w:val="23268735"/>
    <w:rsid w:val="23ECE7FF"/>
    <w:rsid w:val="2506415D"/>
    <w:rsid w:val="267F4AF0"/>
    <w:rsid w:val="27F9F858"/>
    <w:rsid w:val="2929E551"/>
    <w:rsid w:val="295F4B15"/>
    <w:rsid w:val="2995C8B9"/>
    <w:rsid w:val="2A79AE4B"/>
    <w:rsid w:val="2AD2ACF8"/>
    <w:rsid w:val="2BE7F224"/>
    <w:rsid w:val="2BEB136B"/>
    <w:rsid w:val="2E36DBFB"/>
    <w:rsid w:val="2EBBEBA6"/>
    <w:rsid w:val="2F5CF66C"/>
    <w:rsid w:val="2FBCE4C9"/>
    <w:rsid w:val="317E2A25"/>
    <w:rsid w:val="31828311"/>
    <w:rsid w:val="321B731E"/>
    <w:rsid w:val="32218AE4"/>
    <w:rsid w:val="32E7896A"/>
    <w:rsid w:val="340571A0"/>
    <w:rsid w:val="3617180B"/>
    <w:rsid w:val="370C1306"/>
    <w:rsid w:val="373C1B82"/>
    <w:rsid w:val="375A7F09"/>
    <w:rsid w:val="37BB1152"/>
    <w:rsid w:val="383D1FEA"/>
    <w:rsid w:val="399FC61A"/>
    <w:rsid w:val="3CC0DCCC"/>
    <w:rsid w:val="3D34CDBF"/>
    <w:rsid w:val="3D4C663B"/>
    <w:rsid w:val="3D5FFEF2"/>
    <w:rsid w:val="3F010293"/>
    <w:rsid w:val="40567203"/>
    <w:rsid w:val="40979FB4"/>
    <w:rsid w:val="41778F20"/>
    <w:rsid w:val="419AA0C8"/>
    <w:rsid w:val="419ED583"/>
    <w:rsid w:val="42337015"/>
    <w:rsid w:val="4396776F"/>
    <w:rsid w:val="43A114D8"/>
    <w:rsid w:val="43FECD0D"/>
    <w:rsid w:val="44B78CAC"/>
    <w:rsid w:val="44E1312A"/>
    <w:rsid w:val="48352A19"/>
    <w:rsid w:val="48A81DA7"/>
    <w:rsid w:val="49631FB9"/>
    <w:rsid w:val="497C4816"/>
    <w:rsid w:val="49FD0DD3"/>
    <w:rsid w:val="4A1BFD1F"/>
    <w:rsid w:val="4A784AD0"/>
    <w:rsid w:val="4BC30616"/>
    <w:rsid w:val="4E3CA2D1"/>
    <w:rsid w:val="4E7ABE7D"/>
    <w:rsid w:val="4EF53943"/>
    <w:rsid w:val="4F2257CC"/>
    <w:rsid w:val="4F4672FE"/>
    <w:rsid w:val="4F9CD1E0"/>
    <w:rsid w:val="51BBC25E"/>
    <w:rsid w:val="51FCC96A"/>
    <w:rsid w:val="52AFAA4E"/>
    <w:rsid w:val="5420DCB0"/>
    <w:rsid w:val="556FC997"/>
    <w:rsid w:val="55F52F2A"/>
    <w:rsid w:val="58B99DE1"/>
    <w:rsid w:val="59BB2803"/>
    <w:rsid w:val="5ABABC33"/>
    <w:rsid w:val="5D03891E"/>
    <w:rsid w:val="5DD40568"/>
    <w:rsid w:val="5DF25CF5"/>
    <w:rsid w:val="5DFBE962"/>
    <w:rsid w:val="5E444822"/>
    <w:rsid w:val="5EDCDD91"/>
    <w:rsid w:val="5EF2E609"/>
    <w:rsid w:val="5F962D4D"/>
    <w:rsid w:val="60308D58"/>
    <w:rsid w:val="60DA57B6"/>
    <w:rsid w:val="61074D3E"/>
    <w:rsid w:val="6251FFCD"/>
    <w:rsid w:val="62A31D9F"/>
    <w:rsid w:val="636A1F82"/>
    <w:rsid w:val="65DABE61"/>
    <w:rsid w:val="67FC888B"/>
    <w:rsid w:val="68EE9283"/>
    <w:rsid w:val="691D0D85"/>
    <w:rsid w:val="69772232"/>
    <w:rsid w:val="6A46AEEE"/>
    <w:rsid w:val="6A6A01E3"/>
    <w:rsid w:val="6BFD1C6B"/>
    <w:rsid w:val="6C05D244"/>
    <w:rsid w:val="6D474AF4"/>
    <w:rsid w:val="6D8B988A"/>
    <w:rsid w:val="6DFE5C27"/>
    <w:rsid w:val="6F1235B4"/>
    <w:rsid w:val="6F3D7306"/>
    <w:rsid w:val="71090F03"/>
    <w:rsid w:val="717CFAC5"/>
    <w:rsid w:val="71F8A0AD"/>
    <w:rsid w:val="73A3FAA3"/>
    <w:rsid w:val="73C7673B"/>
    <w:rsid w:val="7534054C"/>
    <w:rsid w:val="767D9CD8"/>
    <w:rsid w:val="77A21EAC"/>
    <w:rsid w:val="77E8F9F7"/>
    <w:rsid w:val="77EC7A09"/>
    <w:rsid w:val="7844AB4B"/>
    <w:rsid w:val="78E5388E"/>
    <w:rsid w:val="7A881333"/>
    <w:rsid w:val="7C149F65"/>
    <w:rsid w:val="7C23E394"/>
    <w:rsid w:val="7C24E7AD"/>
    <w:rsid w:val="7DC0B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E442"/>
  <w15:docId w15:val="{C696BFD3-B54A-43B7-8731-F173304B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58"/>
      <w:ind w:left="3"/>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37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05643"/>
    <w:rPr>
      <w:color w:val="0563C1" w:themeColor="hyperlink"/>
      <w:u w:val="single"/>
    </w:rPr>
  </w:style>
  <w:style w:type="character" w:styleId="UnresolvedMention">
    <w:name w:val="Unresolved Mention"/>
    <w:basedOn w:val="DefaultParagraphFont"/>
    <w:uiPriority w:val="99"/>
    <w:semiHidden/>
    <w:unhideWhenUsed/>
    <w:rsid w:val="00405643"/>
    <w:rPr>
      <w:color w:val="605E5C"/>
      <w:shd w:val="clear" w:color="auto" w:fill="E1DFDD"/>
    </w:rPr>
  </w:style>
  <w:style w:type="paragraph" w:styleId="ListParagraph">
    <w:name w:val="List Paragraph"/>
    <w:basedOn w:val="Normal"/>
    <w:uiPriority w:val="34"/>
    <w:qFormat/>
    <w:rsid w:val="00405643"/>
    <w:pPr>
      <w:ind w:left="720"/>
      <w:contextualSpacing/>
    </w:pPr>
  </w:style>
  <w:style w:type="character" w:styleId="FollowedHyperlink">
    <w:name w:val="FollowedHyperlink"/>
    <w:basedOn w:val="DefaultParagraphFont"/>
    <w:uiPriority w:val="99"/>
    <w:semiHidden/>
    <w:unhideWhenUsed/>
    <w:rsid w:val="00405643"/>
    <w:rPr>
      <w:color w:val="954F72" w:themeColor="followedHyperlink"/>
      <w:u w:val="single"/>
    </w:rPr>
  </w:style>
  <w:style w:type="paragraph" w:styleId="TOCHeading">
    <w:name w:val="TOC Heading"/>
    <w:basedOn w:val="Heading1"/>
    <w:next w:val="Normal"/>
    <w:uiPriority w:val="39"/>
    <w:unhideWhenUsed/>
    <w:qFormat/>
    <w:rsid w:val="006F0DC5"/>
    <w:pPr>
      <w:spacing w:before="240" w:after="0"/>
      <w:ind w:left="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6F0DC5"/>
    <w:pPr>
      <w:spacing w:after="100"/>
    </w:pPr>
  </w:style>
  <w:style w:type="paragraph" w:styleId="TOC2">
    <w:name w:val="toc 2"/>
    <w:basedOn w:val="Normal"/>
    <w:next w:val="Normal"/>
    <w:autoRedefine/>
    <w:uiPriority w:val="39"/>
    <w:unhideWhenUsed/>
    <w:rsid w:val="006F0DC5"/>
    <w:pPr>
      <w:spacing w:after="100"/>
      <w:ind w:left="220"/>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ectclinicaltrial.org.uk/" TargetMode="External"/><Relationship Id="rId18" Type="http://schemas.openxmlformats.org/officeDocument/2006/relationships/hyperlink" Target="https://xylaservices.fra1.cdn.digitaloceanspaces.com/wp/wp-content/uploads/2025/11/28103526/nhs-t2dr-programme-guidance-for-gp-practices-and-referrers-oct-202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irectclinicaltrial.org.uk/" TargetMode="External"/><Relationship Id="rId17" Type="http://schemas.openxmlformats.org/officeDocument/2006/relationships/hyperlink" Target="https://xylaservices.fra1.cdn.digitaloceanspaces.com/wp/wp-content/uploads/2025/11/28103508/t2dr-eligibility-criteria-referrer-responsibilities.docx" TargetMode="External"/><Relationship Id="rId2" Type="http://schemas.openxmlformats.org/officeDocument/2006/relationships/customXml" Target="../customXml/item2.xml"/><Relationship Id="rId16" Type="http://schemas.openxmlformats.org/officeDocument/2006/relationships/hyperlink" Target="https://www.bmj.com/content/362/bmj.k37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ectclinicaltrial.org.uk/" TargetMode="External"/><Relationship Id="rId5" Type="http://schemas.openxmlformats.org/officeDocument/2006/relationships/numbering" Target="numbering.xml"/><Relationship Id="rId15" Type="http://schemas.openxmlformats.org/officeDocument/2006/relationships/hyperlink" Target="https://www.bmj.com/content/362/bmj.k3760" TargetMode="External"/><Relationship Id="rId10" Type="http://schemas.openxmlformats.org/officeDocument/2006/relationships/hyperlink" Target="https://xylahealthandwellbeing.com/our-services/diabetes-remission/type-two-diabetes-remission/t2dr-patient-info/" TargetMode="External"/><Relationship Id="rId19" Type="http://schemas.openxmlformats.org/officeDocument/2006/relationships/hyperlink" Target="https://xyla.fra1.cdn.digitaloceanspaces.com/wp/wp-content/uploads/2023/03/adverse-events-flow-updated-march-23.pdf" TargetMode="External"/><Relationship Id="rId4" Type="http://schemas.openxmlformats.org/officeDocument/2006/relationships/customXml" Target="../customXml/item4.xml"/><Relationship Id="rId9" Type="http://schemas.openxmlformats.org/officeDocument/2006/relationships/hyperlink" Target="https://bit.ly/t2dr-info" TargetMode="External"/><Relationship Id="rId14" Type="http://schemas.openxmlformats.org/officeDocument/2006/relationships/hyperlink" Target="https://www.bmj.com/content/362/bmj.k3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d966cc-d19f-4fe9-97ea-ca39f6129846">
      <Terms xmlns="http://schemas.microsoft.com/office/infopath/2007/PartnerControls"/>
    </lcf76f155ced4ddcb4097134ff3c332f>
    <TaxCatchAll xmlns="100e26d2-269f-4875-9d3f-575ce234e9c9" xsi:nil="true"/>
    <x37t xmlns="e4d966cc-d19f-4fe9-97ea-ca39f6129846">
      <UserInfo>
        <DisplayName/>
        <AccountId xsi:nil="true"/>
        <AccountType/>
      </UserInfo>
    </x37t>
    <_x0061_on5 xmlns="e4d966cc-d19f-4fe9-97ea-ca39f6129846" xsi:nil="true"/>
    <_ip_UnifiedCompliancePolicyProperties xmlns="http://schemas.microsoft.com/sharepoint/v3" xsi:nil="true"/>
    <Status xmlns="e4d966cc-d19f-4fe9-97ea-ca39f6129846" xsi:nil="true"/>
    <Comments xmlns="e4d966cc-d19f-4fe9-97ea-ca39f6129846" xsi:nil="true"/>
    <Author0 xmlns="e4d966cc-d19f-4fe9-97ea-ca39f61298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CA80D65ADE644E8282E21BBBC49A31" ma:contentTypeVersion="27" ma:contentTypeDescription="Create a new document." ma:contentTypeScope="" ma:versionID="a5afb16e61d3b3b5dee7725a45557fa9">
  <xsd:schema xmlns:xsd="http://www.w3.org/2001/XMLSchema" xmlns:xs="http://www.w3.org/2001/XMLSchema" xmlns:p="http://schemas.microsoft.com/office/2006/metadata/properties" xmlns:ns1="http://schemas.microsoft.com/sharepoint/v3" xmlns:ns2="e4d966cc-d19f-4fe9-97ea-ca39f6129846" xmlns:ns3="100e26d2-269f-4875-9d3f-575ce234e9c9" targetNamespace="http://schemas.microsoft.com/office/2006/metadata/properties" ma:root="true" ma:fieldsID="52270481f34291826e5a3ddc67606f1b" ns1:_="" ns2:_="" ns3:_="">
    <xsd:import namespace="http://schemas.microsoft.com/sharepoint/v3"/>
    <xsd:import namespace="e4d966cc-d19f-4fe9-97ea-ca39f6129846"/>
    <xsd:import namespace="100e26d2-269f-4875-9d3f-575ce234e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Author0" minOccurs="0"/>
                <xsd:element ref="ns2:Status" minOccurs="0"/>
                <xsd:element ref="ns2:x37t" minOccurs="0"/>
                <xsd:element ref="ns2:_x0061_on5" minOccurs="0"/>
                <xsd:element ref="ns2:Comme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966cc-d19f-4fe9-97ea-ca39f6129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uthor0" ma:index="21" nillable="true" ma:displayName="Author" ma:description="Name of author" ma:format="Dropdown" ma:internalName="Author0">
      <xsd:simpleType>
        <xsd:restriction base="dms:Text">
          <xsd:maxLength value="255"/>
        </xsd:restriction>
      </xsd:simpleType>
    </xsd:element>
    <xsd:element name="Status" ma:index="22" nillable="true" ma:displayName="Status" ma:description="Describes status of blog" ma:format="Dropdown" ma:internalName="Status">
      <xsd:simpleType>
        <xsd:restriction base="dms:Choice">
          <xsd:enumeration value="1st Draft submitted"/>
          <xsd:enumeration value="In Review by MDT"/>
          <xsd:enumeration value="Non MDT Review"/>
          <xsd:enumeration value="Signed Off"/>
          <xsd:enumeration value="Not for publishing"/>
        </xsd:restriction>
      </xsd:simpleType>
    </xsd:element>
    <xsd:element name="x37t" ma:index="23" nillable="true" ma:displayName="Who" ma:list="UserInfo" ma:internalName="x37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61_on5" ma:index="24" nillable="true" ma:displayName="Due Date" ma:internalName="_x0061_on5">
      <xsd:simpleType>
        <xsd:restriction base="dms:DateTime"/>
      </xsd:simpleType>
    </xsd:element>
    <xsd:element name="Comments" ma:index="25" nillable="true" ma:displayName="Comments" ma:internalName="Comments">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c487c7f6-9e2a-433c-ad37-1c42964d11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e26d2-269f-4875-9d3f-575ce234e9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89d36975-aaab-4ea2-bfd7-776006de2d68}" ma:internalName="TaxCatchAll" ma:showField="CatchAllData" ma:web="100e26d2-269f-4875-9d3f-575ce234e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AE28B-2ABC-4BE1-A83A-B32E7D8AD239}">
  <ds:schemaRefs>
    <ds:schemaRef ds:uri="http://schemas.microsoft.com/office/2006/metadata/properties"/>
    <ds:schemaRef ds:uri="http://schemas.microsoft.com/office/infopath/2007/PartnerControls"/>
    <ds:schemaRef ds:uri="http://schemas.microsoft.com/sharepoint/v3"/>
    <ds:schemaRef ds:uri="e4d966cc-d19f-4fe9-97ea-ca39f6129846"/>
    <ds:schemaRef ds:uri="100e26d2-269f-4875-9d3f-575ce234e9c9"/>
  </ds:schemaRefs>
</ds:datastoreItem>
</file>

<file path=customXml/itemProps2.xml><?xml version="1.0" encoding="utf-8"?>
<ds:datastoreItem xmlns:ds="http://schemas.openxmlformats.org/officeDocument/2006/customXml" ds:itemID="{4F27829A-BB85-4FD8-BF89-7057E98E514B}">
  <ds:schemaRefs>
    <ds:schemaRef ds:uri="http://schemas.openxmlformats.org/officeDocument/2006/bibliography"/>
  </ds:schemaRefs>
</ds:datastoreItem>
</file>

<file path=customXml/itemProps3.xml><?xml version="1.0" encoding="utf-8"?>
<ds:datastoreItem xmlns:ds="http://schemas.openxmlformats.org/officeDocument/2006/customXml" ds:itemID="{3636CED6-9894-44E3-9544-8C6CE830D561}">
  <ds:schemaRefs>
    <ds:schemaRef ds:uri="http://schemas.microsoft.com/sharepoint/v3/contenttype/forms"/>
  </ds:schemaRefs>
</ds:datastoreItem>
</file>

<file path=customXml/itemProps4.xml><?xml version="1.0" encoding="utf-8"?>
<ds:datastoreItem xmlns:ds="http://schemas.openxmlformats.org/officeDocument/2006/customXml" ds:itemID="{27ADFEEA-463C-403E-890C-E30901E8C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d966cc-d19f-4fe9-97ea-ca39f6129846"/>
    <ds:schemaRef ds:uri="100e26d2-269f-4875-9d3f-575ce234e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1787</Words>
  <Characters>9544</Characters>
  <Application>Microsoft Office Word</Application>
  <DocSecurity>0</DocSecurity>
  <Lines>238</Lines>
  <Paragraphs>136</Paragraphs>
  <ScaleCrop>false</ScaleCrop>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Agar</dc:creator>
  <cp:keywords/>
  <cp:lastModifiedBy>Sally Arrowsmith</cp:lastModifiedBy>
  <cp:revision>7</cp:revision>
  <dcterms:created xsi:type="dcterms:W3CDTF">2025-11-17T14:42:00Z</dcterms:created>
  <dcterms:modified xsi:type="dcterms:W3CDTF">2025-11-28T10:43:00Z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0x010100EFCA80D65ADE644E8282E21BBBC49A31</vt:lpwstr>
  </property>
  <property fmtid="{D5CDD505-2E9C-101B-9397-08002B2CF9AE}" pid="3" name="MediaServiceImageTags">
    <vt:lpwstr/>
  </property>
  <property fmtid="{D5CDD505-2E9C-101B-9397-08002B2CF9AE}" pid="4" name="docLang">
    <vt:lpwstr>en</vt:lpwstr>
  </property>
</Properties>
</file>